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0000"/>
          <w:w w:val="93"/>
          <w:sz w:val="94"/>
          <w:szCs w:val="94"/>
        </w:rPr>
      </w:pPr>
      <w:r>
        <w:rPr>
          <w:rFonts w:hint="eastAsia" w:ascii="方正小标宋简体" w:eastAsia="方正小标宋简体"/>
          <w:color w:val="FF0000"/>
          <w:w w:val="93"/>
          <w:sz w:val="94"/>
          <w:szCs w:val="94"/>
        </w:rPr>
        <w:t>中国企业体育协会文件</w:t>
      </w:r>
    </w:p>
    <w:p>
      <w:pPr>
        <w:rPr>
          <w:sz w:val="10"/>
          <w:szCs w:val="10"/>
        </w:rPr>
      </w:pPr>
    </w:p>
    <w:p>
      <w:pPr>
        <w:rPr>
          <w:sz w:val="10"/>
          <w:szCs w:val="10"/>
        </w:rPr>
      </w:pPr>
    </w:p>
    <w:p>
      <w:pPr>
        <w:jc w:val="center"/>
        <w:rPr>
          <w:rFonts w:ascii="仿宋" w:hAnsi="仿宋" w:eastAsia="仿宋"/>
          <w:sz w:val="32"/>
          <w:szCs w:val="32"/>
        </w:rPr>
      </w:pPr>
      <w:r>
        <w:rPr>
          <w:rFonts w:hint="eastAsia" w:ascii="仿宋" w:hAnsi="仿宋" w:eastAsia="仿宋"/>
          <w:sz w:val="32"/>
          <w:szCs w:val="32"/>
        </w:rPr>
        <w:t>企体字〔202</w:t>
      </w:r>
      <w:r>
        <w:rPr>
          <w:rFonts w:hint="eastAsia" w:ascii="仿宋" w:hAnsi="仿宋" w:eastAsia="仿宋"/>
          <w:sz w:val="32"/>
          <w:szCs w:val="32"/>
          <w:lang w:val="en-US" w:eastAsia="zh-CN"/>
        </w:rPr>
        <w:t>1</w:t>
      </w:r>
      <w:r>
        <w:rPr>
          <w:rFonts w:hint="eastAsia" w:ascii="仿宋" w:hAnsi="仿宋" w:eastAsia="仿宋"/>
          <w:sz w:val="32"/>
          <w:szCs w:val="32"/>
        </w:rPr>
        <w:t>〕</w:t>
      </w:r>
      <w:r>
        <w:rPr>
          <w:rFonts w:hint="eastAsia" w:ascii="仿宋" w:hAnsi="仿宋" w:eastAsia="仿宋"/>
          <w:sz w:val="32"/>
          <w:szCs w:val="32"/>
          <w:lang w:val="en-US" w:eastAsia="zh-CN"/>
        </w:rPr>
        <w:t>20</w:t>
      </w:r>
      <w:r>
        <w:rPr>
          <w:rFonts w:hint="eastAsia" w:ascii="仿宋" w:hAnsi="仿宋" w:eastAsia="仿宋"/>
          <w:sz w:val="32"/>
          <w:szCs w:val="32"/>
        </w:rPr>
        <w:t>号</w:t>
      </w:r>
    </w:p>
    <w:p>
      <w:pPr>
        <w:spacing w:line="600" w:lineRule="exact"/>
        <w:jc w:val="center"/>
        <w:rPr>
          <w:rFonts w:ascii="仿宋" w:hAnsi="仿宋" w:eastAsia="仿宋"/>
          <w:sz w:val="32"/>
          <w:szCs w:val="32"/>
        </w:rPr>
      </w:pPr>
      <w:r>
        <w:rPr>
          <w:rFonts w:ascii="仿宋" w:hAnsi="仿宋" w:eastAsia="仿宋"/>
          <w:sz w:val="44"/>
          <w:szCs w:val="44"/>
        </w:rPr>
        <w:drawing>
          <wp:anchor distT="0" distB="0" distL="114300" distR="114300" simplePos="0" relativeHeight="251660288" behindDoc="1" locked="0" layoutInCell="0" allowOverlap="1">
            <wp:simplePos x="0" y="0"/>
            <wp:positionH relativeFrom="page">
              <wp:posOffset>866775</wp:posOffset>
            </wp:positionH>
            <wp:positionV relativeFrom="page">
              <wp:posOffset>3228975</wp:posOffset>
            </wp:positionV>
            <wp:extent cx="5695950" cy="1905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5695950" cy="19050"/>
                    </a:xfrm>
                    <a:prstGeom prst="rect">
                      <a:avLst/>
                    </a:prstGeom>
                    <a:noFill/>
                  </pic:spPr>
                </pic:pic>
              </a:graphicData>
            </a:graphic>
          </wp:anchor>
        </w:drawing>
      </w:r>
    </w:p>
    <w:p>
      <w:pPr>
        <w:spacing w:line="600" w:lineRule="exact"/>
        <w:jc w:val="center"/>
        <w:rPr>
          <w:rFonts w:ascii="仿宋" w:hAnsi="仿宋" w:eastAsia="仿宋"/>
          <w:sz w:val="32"/>
          <w:szCs w:val="32"/>
        </w:rPr>
      </w:pPr>
    </w:p>
    <w:p>
      <w:pPr>
        <w:keepNext w:val="0"/>
        <w:keepLines w:val="0"/>
        <w:pageBreakBefore w:val="0"/>
        <w:widowControl/>
        <w:kinsoku/>
        <w:wordWrap/>
        <w:overflowPunct/>
        <w:topLinePunct w:val="0"/>
        <w:autoSpaceDE w:val="0"/>
        <w:autoSpaceDN w:val="0"/>
        <w:bidi w:val="0"/>
        <w:adjustRightInd w:val="0"/>
        <w:snapToGrid/>
        <w:spacing w:line="560" w:lineRule="exact"/>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关于举办“全国职工健康促进工程·健康运动”</w:t>
      </w:r>
    </w:p>
    <w:p>
      <w:pPr>
        <w:keepNext w:val="0"/>
        <w:keepLines w:val="0"/>
        <w:pageBreakBefore w:val="0"/>
        <w:widowControl/>
        <w:kinsoku/>
        <w:wordWrap/>
        <w:overflowPunct/>
        <w:topLinePunct w:val="0"/>
        <w:autoSpaceDE w:val="0"/>
        <w:autoSpaceDN w:val="0"/>
        <w:bidi w:val="0"/>
        <w:adjustRightInd w:val="0"/>
        <w:snapToGrid/>
        <w:spacing w:line="560" w:lineRule="exact"/>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2021年第十届全国行业／企业职工男子篮球赛的通知</w:t>
      </w:r>
    </w:p>
    <w:p>
      <w:pPr>
        <w:keepNext w:val="0"/>
        <w:keepLines w:val="0"/>
        <w:pageBreakBefore w:val="0"/>
        <w:widowControl/>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kern w:val="0"/>
          <w:sz w:val="32"/>
          <w:szCs w:val="32"/>
        </w:rPr>
      </w:pPr>
    </w:p>
    <w:p>
      <w:pPr>
        <w:keepNext w:val="0"/>
        <w:keepLines w:val="0"/>
        <w:pageBreakBefore w:val="0"/>
        <w:widowControl/>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各行业体育协会、会员单位、有关单位：</w:t>
      </w:r>
    </w:p>
    <w:p>
      <w:pPr>
        <w:keepNext w:val="0"/>
        <w:keepLines w:val="0"/>
        <w:pageBreakBefore w:val="0"/>
        <w:widowControl/>
        <w:kinsoku/>
        <w:wordWrap/>
        <w:overflowPunct/>
        <w:topLinePunct w:val="0"/>
        <w:autoSpaceDE w:val="0"/>
        <w:autoSpaceDN w:val="0"/>
        <w:bidi w:val="0"/>
        <w:adjustRightInd w:val="0"/>
        <w:snapToGrid/>
        <w:spacing w:line="56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在“十四五”规划开局之年，为深度贯彻落实《健康中国2030规划纲要》，进一步做实“全国职工健康促进工程·健康运动”板块工作，以篮球为抓手，展示单位精神风貌、促进单位间交流与合作，现定于8月25日至8月30日，在山东省淄博市张店区举办“全国职工健康促进工程·健康运动”2021年第十届全国行业／企业职工男子篮球赛。</w:t>
      </w:r>
    </w:p>
    <w:p>
      <w:pPr>
        <w:keepNext w:val="0"/>
        <w:keepLines w:val="0"/>
        <w:pageBreakBefore w:val="0"/>
        <w:widowControl/>
        <w:kinsoku/>
        <w:wordWrap/>
        <w:overflowPunct/>
        <w:topLinePunct w:val="0"/>
        <w:autoSpaceDE w:val="0"/>
        <w:autoSpaceDN w:val="0"/>
        <w:bidi w:val="0"/>
        <w:adjustRightInd w:val="0"/>
        <w:snapToGrid/>
        <w:spacing w:line="56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现将有关事项通知如下：</w:t>
      </w:r>
    </w:p>
    <w:p>
      <w:pPr>
        <w:keepNext w:val="0"/>
        <w:keepLines w:val="0"/>
        <w:pageBreakBefore w:val="0"/>
        <w:kinsoku/>
        <w:wordWrap/>
        <w:overflowPunct/>
        <w:topLinePunct w:val="0"/>
        <w:bidi w:val="0"/>
        <w:snapToGrid/>
        <w:spacing w:line="560" w:lineRule="exac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 xml:space="preserve">  </w:t>
      </w:r>
      <w:r>
        <w:rPr>
          <w:rFonts w:hint="eastAsia" w:ascii="黑体" w:hAnsi="黑体" w:eastAsia="黑体" w:cs="黑体"/>
          <w:b w:val="0"/>
          <w:bCs w:val="0"/>
          <w:kern w:val="0"/>
          <w:sz w:val="32"/>
          <w:szCs w:val="32"/>
        </w:rPr>
        <w:t xml:space="preserve">  一、竞赛项目</w:t>
      </w:r>
    </w:p>
    <w:p>
      <w:pPr>
        <w:keepNext w:val="0"/>
        <w:keepLines w:val="0"/>
        <w:pageBreakBefore w:val="0"/>
        <w:kinsoku/>
        <w:wordWrap/>
        <w:overflowPunct/>
        <w:topLinePunct w:val="0"/>
        <w:bidi w:val="0"/>
        <w:snapToGrid/>
        <w:spacing w:line="560" w:lineRule="exact"/>
        <w:ind w:left="640"/>
        <w:textAlignment w:val="auto"/>
        <w:rPr>
          <w:rFonts w:hint="eastAsia" w:ascii="仿宋" w:hAnsi="仿宋" w:eastAsia="仿宋" w:cs="仿宋"/>
          <w:kern w:val="0"/>
          <w:sz w:val="32"/>
          <w:szCs w:val="32"/>
        </w:rPr>
      </w:pPr>
      <w:r>
        <w:rPr>
          <w:rFonts w:hint="eastAsia" w:ascii="仿宋" w:hAnsi="仿宋" w:eastAsia="仿宋" w:cs="仿宋"/>
          <w:kern w:val="0"/>
          <w:sz w:val="32"/>
          <w:szCs w:val="32"/>
        </w:rPr>
        <w:t>（一）五人制，8支队。</w:t>
      </w:r>
    </w:p>
    <w:p>
      <w:pPr>
        <w:keepNext w:val="0"/>
        <w:keepLines w:val="0"/>
        <w:pageBreakBefore w:val="0"/>
        <w:kinsoku/>
        <w:wordWrap/>
        <w:overflowPunct/>
        <w:topLinePunct w:val="0"/>
        <w:bidi w:val="0"/>
        <w:snapToGrid/>
        <w:spacing w:line="560" w:lineRule="exac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（二）三人制，16支队。</w:t>
      </w:r>
    </w:p>
    <w:p>
      <w:pPr>
        <w:keepNext w:val="0"/>
        <w:keepLines w:val="0"/>
        <w:pageBreakBefore w:val="0"/>
        <w:kinsoku/>
        <w:wordWrap/>
        <w:overflowPunct/>
        <w:topLinePunct w:val="0"/>
        <w:bidi w:val="0"/>
        <w:snapToGrid/>
        <w:spacing w:line="560" w:lineRule="exact"/>
        <w:textAlignment w:val="auto"/>
        <w:rPr>
          <w:rFonts w:hint="eastAsia" w:ascii="仿宋" w:hAnsi="仿宋" w:eastAsia="仿宋" w:cs="仿宋"/>
          <w:b/>
          <w:bCs/>
          <w:kern w:val="0"/>
          <w:sz w:val="32"/>
          <w:szCs w:val="32"/>
        </w:rPr>
        <w:sectPr>
          <w:pgSz w:w="11900" w:h="16840"/>
          <w:pgMar w:top="2098" w:right="1531" w:bottom="1984" w:left="1531" w:header="851" w:footer="992" w:gutter="0"/>
          <w:cols w:space="425" w:num="1"/>
          <w:docGrid w:type="lines" w:linePitch="423" w:charSpace="0"/>
        </w:sect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b/>
          <w:bCs/>
          <w:kern w:val="0"/>
          <w:sz w:val="32"/>
          <w:szCs w:val="32"/>
        </w:rPr>
      </w:pPr>
      <w:r>
        <w:rPr>
          <w:rFonts w:hint="eastAsia" w:ascii="黑体" w:hAnsi="黑体" w:eastAsia="黑体" w:cs="黑体"/>
          <w:b w:val="0"/>
          <w:bCs w:val="0"/>
          <w:kern w:val="0"/>
          <w:sz w:val="32"/>
          <w:szCs w:val="32"/>
        </w:rPr>
        <w:t>二、报名规定</w:t>
      </w:r>
    </w:p>
    <w:p>
      <w:pPr>
        <w:keepNext w:val="0"/>
        <w:keepLines w:val="0"/>
        <w:pageBreakBefore w:val="0"/>
        <w:kinsoku/>
        <w:wordWrap/>
        <w:overflowPunct/>
        <w:topLinePunct w:val="0"/>
        <w:bidi w:val="0"/>
        <w:snapToGrid/>
        <w:spacing w:line="560" w:lineRule="exact"/>
        <w:textAlignment w:val="auto"/>
        <w:rPr>
          <w:rFonts w:hint="eastAsia" w:ascii="仿宋" w:hAnsi="仿宋" w:eastAsia="仿宋" w:cs="仿宋"/>
          <w:sz w:val="32"/>
          <w:szCs w:val="32"/>
        </w:rPr>
      </w:pPr>
      <w:r>
        <w:rPr>
          <w:rFonts w:hint="eastAsia" w:ascii="仿宋" w:hAnsi="仿宋" w:eastAsia="仿宋" w:cs="仿宋"/>
          <w:b/>
          <w:bCs/>
          <w:kern w:val="0"/>
          <w:sz w:val="32"/>
          <w:szCs w:val="32"/>
        </w:rPr>
        <w:t xml:space="preserve">    </w:t>
      </w:r>
      <w:r>
        <w:rPr>
          <w:rFonts w:hint="eastAsia" w:ascii="仿宋" w:hAnsi="仿宋" w:eastAsia="仿宋" w:cs="仿宋"/>
          <w:sz w:val="32"/>
          <w:szCs w:val="32"/>
        </w:rPr>
        <w:t>（一）同一单位可兼报两个竞赛项目，队数不限，但运动员不可兼项。</w:t>
      </w:r>
    </w:p>
    <w:p>
      <w:pPr>
        <w:keepNext w:val="0"/>
        <w:keepLines w:val="0"/>
        <w:pageBreakBefore w:val="0"/>
        <w:kinsoku/>
        <w:wordWrap/>
        <w:overflowPunct/>
        <w:topLinePunct w:val="0"/>
        <w:bidi w:val="0"/>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（二）五人制项目每队可报领队1人、教练员1人、队医1人、运动员至少6人。三人制项目每队可报领队1人、教练员1人、队医1人、运动员至少4人。领队可兼任教练员和／或队医，但不可兼任运动员参赛。</w:t>
      </w:r>
    </w:p>
    <w:p>
      <w:pPr>
        <w:keepNext w:val="0"/>
        <w:keepLines w:val="0"/>
        <w:pageBreakBefore w:val="0"/>
        <w:kinsoku/>
        <w:wordWrap/>
        <w:overflowPunct/>
        <w:topLinePunct w:val="0"/>
        <w:bidi w:val="0"/>
        <w:snapToGrid/>
        <w:spacing w:line="560" w:lineRule="exact"/>
        <w:ind w:firstLine="640"/>
        <w:textAlignment w:val="auto"/>
        <w:rPr>
          <w:rFonts w:hint="eastAsia" w:ascii="仿宋" w:hAnsi="仿宋" w:eastAsia="仿宋" w:cs="仿宋"/>
          <w:kern w:val="0"/>
          <w:sz w:val="32"/>
          <w:szCs w:val="32"/>
        </w:rPr>
      </w:pPr>
      <w:r>
        <w:rPr>
          <w:rFonts w:hint="eastAsia" w:ascii="仿宋" w:hAnsi="仿宋" w:eastAsia="仿宋" w:cs="仿宋"/>
          <w:sz w:val="32"/>
          <w:szCs w:val="32"/>
        </w:rPr>
        <w:t>（三）各队报名运动员，必须为身体健康，</w:t>
      </w:r>
      <w:r>
        <w:rPr>
          <w:rFonts w:hint="eastAsia" w:ascii="仿宋" w:hAnsi="仿宋" w:eastAsia="仿宋" w:cs="仿宋"/>
          <w:kern w:val="0"/>
          <w:sz w:val="32"/>
          <w:szCs w:val="32"/>
        </w:rPr>
        <w:t>2003年1月1日（含）前出生的在职职工。兼职、派驻、借调人员，以及2019-2021年在CBA、NBL等国内职业篮球俱乐部及梯队，或其他国家职业篮球俱乐部及梯队有过注册历史的，不得以运动员身份报名。</w:t>
      </w:r>
    </w:p>
    <w:p>
      <w:pPr>
        <w:keepNext w:val="0"/>
        <w:keepLines w:val="0"/>
        <w:pageBreakBefore w:val="0"/>
        <w:kinsoku/>
        <w:wordWrap/>
        <w:overflowPunct/>
        <w:topLinePunct w:val="0"/>
        <w:bidi w:val="0"/>
        <w:snapToGrid/>
        <w:spacing w:line="560" w:lineRule="exact"/>
        <w:ind w:firstLine="640"/>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如球队使用不具备参赛资格的运动员参加比赛，一经查实，取消全队参赛资格及比赛成绩。</w:t>
      </w:r>
    </w:p>
    <w:p>
      <w:pPr>
        <w:keepNext w:val="0"/>
        <w:keepLines w:val="0"/>
        <w:pageBreakBefore w:val="0"/>
        <w:kinsoku/>
        <w:wordWrap/>
        <w:overflowPunct/>
        <w:topLinePunct w:val="0"/>
        <w:bidi w:val="0"/>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（四）各参赛单位须在报名截止日前，将以下报名材料发至我会：</w:t>
      </w:r>
    </w:p>
    <w:p>
      <w:pPr>
        <w:keepNext w:val="0"/>
        <w:keepLines w:val="0"/>
        <w:pageBreakBefore w:val="0"/>
        <w:kinsoku/>
        <w:wordWrap/>
        <w:overflowPunct/>
        <w:topLinePunct w:val="0"/>
        <w:bidi w:val="0"/>
        <w:snapToGrid/>
        <w:spacing w:line="560" w:lineRule="exact"/>
        <w:ind w:firstLine="640"/>
        <w:textAlignment w:val="auto"/>
        <w:rPr>
          <w:rFonts w:hint="eastAsia" w:ascii="仿宋" w:hAnsi="仿宋" w:eastAsia="仿宋" w:cs="仿宋"/>
          <w:sz w:val="32"/>
          <w:szCs w:val="32"/>
          <w:lang w:eastAsia="zh-CN"/>
        </w:rPr>
      </w:pPr>
      <w:r>
        <w:rPr>
          <w:rFonts w:hint="eastAsia" w:ascii="仿宋" w:hAnsi="仿宋" w:eastAsia="仿宋" w:cs="仿宋"/>
          <w:sz w:val="32"/>
          <w:szCs w:val="32"/>
        </w:rPr>
        <w:t>1.《报名表》</w:t>
      </w:r>
      <w:r>
        <w:rPr>
          <w:rFonts w:hint="eastAsia" w:ascii="仿宋" w:hAnsi="仿宋" w:eastAsia="仿宋" w:cs="仿宋"/>
          <w:sz w:val="32"/>
          <w:szCs w:val="32"/>
          <w:lang w:eastAsia="zh-CN"/>
        </w:rPr>
        <w:t>；</w:t>
      </w:r>
    </w:p>
    <w:p>
      <w:pPr>
        <w:keepNext w:val="0"/>
        <w:keepLines w:val="0"/>
        <w:pageBreakBefore w:val="0"/>
        <w:kinsoku/>
        <w:wordWrap/>
        <w:overflowPunct/>
        <w:topLinePunct w:val="0"/>
        <w:bidi w:val="0"/>
        <w:snapToGrid/>
        <w:spacing w:line="560" w:lineRule="exact"/>
        <w:ind w:firstLine="640"/>
        <w:textAlignment w:val="auto"/>
        <w:rPr>
          <w:rFonts w:hint="eastAsia" w:ascii="仿宋" w:hAnsi="仿宋" w:eastAsia="仿宋" w:cs="仿宋"/>
          <w:sz w:val="32"/>
          <w:szCs w:val="32"/>
          <w:lang w:eastAsia="zh-CN"/>
        </w:rPr>
      </w:pPr>
      <w:r>
        <w:rPr>
          <w:rFonts w:hint="eastAsia" w:ascii="仿宋" w:hAnsi="仿宋" w:eastAsia="仿宋" w:cs="仿宋"/>
          <w:sz w:val="32"/>
          <w:szCs w:val="32"/>
        </w:rPr>
        <w:t>2.领队、教练员、队医、运动员的二寸白底证件照片电子版（注明姓名）</w:t>
      </w:r>
      <w:r>
        <w:rPr>
          <w:rFonts w:hint="eastAsia" w:ascii="仿宋" w:hAnsi="仿宋" w:eastAsia="仿宋" w:cs="仿宋"/>
          <w:sz w:val="32"/>
          <w:szCs w:val="32"/>
          <w:lang w:eastAsia="zh-CN"/>
        </w:rPr>
        <w:t>；</w:t>
      </w:r>
    </w:p>
    <w:p>
      <w:pPr>
        <w:keepNext w:val="0"/>
        <w:keepLines w:val="0"/>
        <w:pageBreakBefore w:val="0"/>
        <w:kinsoku/>
        <w:wordWrap/>
        <w:overflowPunct/>
        <w:topLinePunct w:val="0"/>
        <w:bidi w:val="0"/>
        <w:snapToGrid/>
        <w:spacing w:line="560" w:lineRule="exact"/>
        <w:ind w:firstLine="640"/>
        <w:textAlignment w:val="auto"/>
        <w:rPr>
          <w:rFonts w:hint="eastAsia" w:ascii="仿宋" w:hAnsi="仿宋" w:eastAsia="仿宋" w:cs="仿宋"/>
          <w:sz w:val="32"/>
          <w:szCs w:val="32"/>
          <w:lang w:eastAsia="zh-CN"/>
        </w:rPr>
      </w:pPr>
      <w:r>
        <w:rPr>
          <w:rFonts w:hint="eastAsia" w:ascii="仿宋" w:hAnsi="仿宋" w:eastAsia="仿宋" w:cs="仿宋"/>
          <w:sz w:val="32"/>
          <w:szCs w:val="32"/>
        </w:rPr>
        <w:t>3.《免责承诺书》</w:t>
      </w:r>
      <w:r>
        <w:rPr>
          <w:rFonts w:hint="eastAsia" w:ascii="仿宋" w:hAnsi="仿宋" w:eastAsia="仿宋" w:cs="仿宋"/>
          <w:sz w:val="32"/>
          <w:szCs w:val="32"/>
          <w:lang w:eastAsia="zh-CN"/>
        </w:rPr>
        <w:t>；</w:t>
      </w:r>
    </w:p>
    <w:p>
      <w:pPr>
        <w:keepNext w:val="0"/>
        <w:keepLines w:val="0"/>
        <w:pageBreakBefore w:val="0"/>
        <w:kinsoku/>
        <w:wordWrap/>
        <w:overflowPunct/>
        <w:topLinePunct w:val="0"/>
        <w:bidi w:val="0"/>
        <w:snapToGrid/>
        <w:spacing w:line="560" w:lineRule="exact"/>
        <w:ind w:firstLine="640"/>
        <w:textAlignment w:val="auto"/>
        <w:rPr>
          <w:rFonts w:hint="eastAsia" w:ascii="仿宋" w:hAnsi="仿宋" w:eastAsia="仿宋" w:cs="仿宋"/>
          <w:sz w:val="32"/>
          <w:szCs w:val="32"/>
          <w:lang w:eastAsia="zh-CN"/>
        </w:rPr>
      </w:pPr>
      <w:r>
        <w:rPr>
          <w:rFonts w:hint="eastAsia" w:ascii="仿宋" w:hAnsi="仿宋" w:eastAsia="仿宋" w:cs="仿宋"/>
          <w:sz w:val="32"/>
          <w:szCs w:val="32"/>
        </w:rPr>
        <w:t>4.《赛事疫情防控责任书》</w:t>
      </w:r>
      <w:r>
        <w:rPr>
          <w:rFonts w:hint="eastAsia" w:ascii="仿宋" w:hAnsi="仿宋" w:eastAsia="仿宋" w:cs="仿宋"/>
          <w:sz w:val="32"/>
          <w:szCs w:val="32"/>
          <w:lang w:eastAsia="zh-CN"/>
        </w:rPr>
        <w:t>。</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b w:val="0"/>
          <w:bCs/>
          <w:kern w:val="0"/>
          <w:sz w:val="32"/>
          <w:szCs w:val="32"/>
        </w:rPr>
      </w:pPr>
      <w:r>
        <w:rPr>
          <w:rFonts w:hint="eastAsia" w:ascii="仿宋" w:hAnsi="仿宋" w:eastAsia="仿宋" w:cs="仿宋"/>
          <w:b w:val="0"/>
          <w:bCs/>
          <w:sz w:val="32"/>
          <w:szCs w:val="32"/>
        </w:rPr>
        <w:t>（五）报名截止时间为2021年7月31日18:00（北京时间）。根据报名（含提交报名材料和缴费）时间先后顺序，确认参赛名额归属。</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b/>
          <w:bCs/>
          <w:kern w:val="0"/>
          <w:sz w:val="32"/>
          <w:szCs w:val="32"/>
        </w:rPr>
      </w:pPr>
      <w:r>
        <w:rPr>
          <w:rFonts w:hint="eastAsia" w:ascii="黑体" w:hAnsi="黑体" w:eastAsia="黑体" w:cs="黑体"/>
          <w:b w:val="0"/>
          <w:bCs w:val="0"/>
          <w:kern w:val="0"/>
          <w:sz w:val="32"/>
          <w:szCs w:val="32"/>
        </w:rPr>
        <w:t>三、比赛时间、地点</w:t>
      </w:r>
    </w:p>
    <w:p>
      <w:pPr>
        <w:keepNext w:val="0"/>
        <w:keepLines w:val="0"/>
        <w:pageBreakBefore w:val="0"/>
        <w:kinsoku/>
        <w:wordWrap/>
        <w:overflowPunct/>
        <w:topLinePunct w:val="0"/>
        <w:bidi w:val="0"/>
        <w:snapToGrid/>
        <w:spacing w:line="560" w:lineRule="exact"/>
        <w:textAlignment w:val="auto"/>
        <w:rPr>
          <w:rFonts w:hint="eastAsia" w:ascii="楷体" w:hAnsi="楷体" w:eastAsia="楷体" w:cs="楷体"/>
          <w:bCs/>
          <w:kern w:val="0"/>
          <w:sz w:val="32"/>
          <w:szCs w:val="32"/>
        </w:rPr>
      </w:pPr>
      <w:r>
        <w:rPr>
          <w:rFonts w:hint="eastAsia" w:ascii="仿宋" w:hAnsi="仿宋" w:eastAsia="仿宋" w:cs="仿宋"/>
          <w:bCs/>
          <w:kern w:val="0"/>
          <w:sz w:val="32"/>
          <w:szCs w:val="32"/>
        </w:rPr>
        <w:t xml:space="preserve">    </w:t>
      </w:r>
      <w:r>
        <w:rPr>
          <w:rFonts w:hint="eastAsia" w:ascii="楷体" w:hAnsi="楷体" w:eastAsia="楷体" w:cs="楷体"/>
          <w:bCs/>
          <w:kern w:val="0"/>
          <w:sz w:val="32"/>
          <w:szCs w:val="32"/>
        </w:rPr>
        <w:t>（一）赛事抵离日期</w:t>
      </w:r>
    </w:p>
    <w:p>
      <w:pPr>
        <w:keepNext w:val="0"/>
        <w:keepLines w:val="0"/>
        <w:pageBreakBefore w:val="0"/>
        <w:kinsoku/>
        <w:wordWrap/>
        <w:overflowPunct/>
        <w:topLinePunct w:val="0"/>
        <w:bidi w:val="0"/>
        <w:snapToGrid/>
        <w:spacing w:line="560" w:lineRule="exact"/>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 xml:space="preserve">    报到日期：</w:t>
      </w:r>
      <w:r>
        <w:rPr>
          <w:rFonts w:hint="eastAsia" w:ascii="仿宋" w:hAnsi="仿宋" w:eastAsia="仿宋" w:cs="仿宋"/>
          <w:bCs/>
          <w:kern w:val="0"/>
          <w:sz w:val="32"/>
          <w:szCs w:val="32"/>
          <w:lang w:val="en-US" w:eastAsia="zh-CN"/>
        </w:rPr>
        <w:t>2021年</w:t>
      </w:r>
      <w:r>
        <w:rPr>
          <w:rFonts w:hint="eastAsia" w:ascii="仿宋" w:hAnsi="仿宋" w:eastAsia="仿宋" w:cs="仿宋"/>
          <w:bCs/>
          <w:kern w:val="0"/>
          <w:sz w:val="32"/>
          <w:szCs w:val="32"/>
        </w:rPr>
        <w:t>8月25日</w:t>
      </w:r>
    </w:p>
    <w:p>
      <w:pPr>
        <w:keepNext w:val="0"/>
        <w:keepLines w:val="0"/>
        <w:pageBreakBefore w:val="0"/>
        <w:kinsoku/>
        <w:wordWrap/>
        <w:overflowPunct/>
        <w:topLinePunct w:val="0"/>
        <w:bidi w:val="0"/>
        <w:snapToGrid/>
        <w:spacing w:line="560" w:lineRule="exact"/>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 xml:space="preserve">    比赛日期：</w:t>
      </w:r>
      <w:r>
        <w:rPr>
          <w:rFonts w:hint="eastAsia" w:ascii="仿宋" w:hAnsi="仿宋" w:eastAsia="仿宋" w:cs="仿宋"/>
          <w:bCs/>
          <w:kern w:val="0"/>
          <w:sz w:val="32"/>
          <w:szCs w:val="32"/>
          <w:lang w:val="en-US" w:eastAsia="zh-CN"/>
        </w:rPr>
        <w:t>2021年</w:t>
      </w:r>
      <w:r>
        <w:rPr>
          <w:rFonts w:hint="eastAsia" w:ascii="仿宋" w:hAnsi="仿宋" w:eastAsia="仿宋" w:cs="仿宋"/>
          <w:bCs/>
          <w:kern w:val="0"/>
          <w:sz w:val="32"/>
          <w:szCs w:val="32"/>
        </w:rPr>
        <w:t>8月26日至29日</w:t>
      </w:r>
    </w:p>
    <w:p>
      <w:pPr>
        <w:keepNext w:val="0"/>
        <w:keepLines w:val="0"/>
        <w:pageBreakBefore w:val="0"/>
        <w:kinsoku/>
        <w:wordWrap/>
        <w:overflowPunct/>
        <w:topLinePunct w:val="0"/>
        <w:bidi w:val="0"/>
        <w:snapToGrid/>
        <w:spacing w:line="560" w:lineRule="exact"/>
        <w:ind w:firstLine="64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离会日期：2021年8月30日</w:t>
      </w:r>
    </w:p>
    <w:p>
      <w:pPr>
        <w:keepNext w:val="0"/>
        <w:keepLines w:val="0"/>
        <w:pageBreakBefore w:val="0"/>
        <w:kinsoku/>
        <w:wordWrap/>
        <w:overflowPunct/>
        <w:topLinePunct w:val="0"/>
        <w:bidi w:val="0"/>
        <w:snapToGrid/>
        <w:spacing w:line="560" w:lineRule="exact"/>
        <w:ind w:firstLine="64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本届赛事，不安排接送站，参赛球队自行抵离官方接待酒店。</w:t>
      </w:r>
    </w:p>
    <w:p>
      <w:pPr>
        <w:keepNext w:val="0"/>
        <w:keepLines w:val="0"/>
        <w:pageBreakBefore w:val="0"/>
        <w:kinsoku/>
        <w:wordWrap/>
        <w:overflowPunct/>
        <w:topLinePunct w:val="0"/>
        <w:bidi w:val="0"/>
        <w:snapToGrid/>
        <w:spacing w:line="560" w:lineRule="exact"/>
        <w:textAlignment w:val="auto"/>
        <w:rPr>
          <w:rFonts w:hint="eastAsia" w:ascii="楷体" w:hAnsi="楷体" w:eastAsia="楷体" w:cs="楷体"/>
          <w:bCs/>
          <w:kern w:val="0"/>
          <w:sz w:val="32"/>
          <w:szCs w:val="32"/>
        </w:rPr>
      </w:pPr>
      <w:r>
        <w:rPr>
          <w:rFonts w:hint="eastAsia" w:ascii="仿宋" w:hAnsi="仿宋" w:eastAsia="仿宋" w:cs="仿宋"/>
          <w:bCs/>
          <w:kern w:val="0"/>
          <w:sz w:val="32"/>
          <w:szCs w:val="32"/>
        </w:rPr>
        <w:t xml:space="preserve">    </w:t>
      </w:r>
      <w:r>
        <w:rPr>
          <w:rFonts w:hint="eastAsia" w:ascii="楷体" w:hAnsi="楷体" w:eastAsia="楷体" w:cs="楷体"/>
          <w:bCs/>
          <w:kern w:val="0"/>
          <w:sz w:val="32"/>
          <w:szCs w:val="32"/>
        </w:rPr>
        <w:t>（二）官方接待酒店信息</w:t>
      </w:r>
    </w:p>
    <w:p>
      <w:pPr>
        <w:keepNext w:val="0"/>
        <w:keepLines w:val="0"/>
        <w:pageBreakBefore w:val="0"/>
        <w:kinsoku/>
        <w:wordWrap/>
        <w:overflowPunct/>
        <w:topLinePunct w:val="0"/>
        <w:bidi w:val="0"/>
        <w:snapToGrid/>
        <w:spacing w:line="560" w:lineRule="exact"/>
        <w:ind w:firstLine="640"/>
        <w:textAlignment w:val="auto"/>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齐盛国际宾馆（地址：山东省淄博市张店区北京路69号）</w:t>
      </w:r>
      <w:r>
        <w:rPr>
          <w:rFonts w:hint="eastAsia" w:ascii="仿宋" w:hAnsi="仿宋" w:eastAsia="仿宋" w:cs="仿宋"/>
          <w:bCs/>
          <w:kern w:val="0"/>
          <w:sz w:val="32"/>
          <w:szCs w:val="32"/>
          <w:lang w:eastAsia="zh-CN"/>
        </w:rPr>
        <w:t>；</w:t>
      </w:r>
    </w:p>
    <w:p>
      <w:pPr>
        <w:keepNext w:val="0"/>
        <w:keepLines w:val="0"/>
        <w:pageBreakBefore w:val="0"/>
        <w:kinsoku/>
        <w:wordWrap/>
        <w:overflowPunct/>
        <w:topLinePunct w:val="0"/>
        <w:bidi w:val="0"/>
        <w:snapToGrid/>
        <w:spacing w:line="560" w:lineRule="exact"/>
        <w:ind w:firstLine="640"/>
        <w:textAlignment w:val="auto"/>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住宿协议价：¥400/间/晚（普通大床和标间，含早餐）</w:t>
      </w:r>
      <w:r>
        <w:rPr>
          <w:rFonts w:hint="eastAsia" w:ascii="仿宋" w:hAnsi="仿宋" w:eastAsia="仿宋" w:cs="仿宋"/>
          <w:bCs/>
          <w:kern w:val="0"/>
          <w:sz w:val="32"/>
          <w:szCs w:val="32"/>
          <w:lang w:eastAsia="zh-CN"/>
        </w:rPr>
        <w:t>；</w:t>
      </w:r>
    </w:p>
    <w:p>
      <w:pPr>
        <w:keepNext w:val="0"/>
        <w:keepLines w:val="0"/>
        <w:pageBreakBefore w:val="0"/>
        <w:kinsoku/>
        <w:wordWrap/>
        <w:overflowPunct/>
        <w:topLinePunct w:val="0"/>
        <w:bidi w:val="0"/>
        <w:snapToGrid/>
        <w:spacing w:line="560" w:lineRule="exact"/>
        <w:ind w:firstLine="640"/>
        <w:textAlignment w:val="auto"/>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餐费协议价：¥88元/人/餐（自助餐）</w:t>
      </w:r>
      <w:r>
        <w:rPr>
          <w:rFonts w:hint="eastAsia" w:ascii="仿宋" w:hAnsi="仿宋" w:eastAsia="仿宋" w:cs="仿宋"/>
          <w:bCs/>
          <w:kern w:val="0"/>
          <w:sz w:val="32"/>
          <w:szCs w:val="32"/>
          <w:lang w:eastAsia="zh-CN"/>
        </w:rPr>
        <w:t>。</w:t>
      </w:r>
    </w:p>
    <w:p>
      <w:pPr>
        <w:keepNext w:val="0"/>
        <w:keepLines w:val="0"/>
        <w:pageBreakBefore w:val="0"/>
        <w:kinsoku/>
        <w:wordWrap/>
        <w:overflowPunct/>
        <w:topLinePunct w:val="0"/>
        <w:bidi w:val="0"/>
        <w:snapToGrid/>
        <w:spacing w:line="560" w:lineRule="exact"/>
        <w:ind w:firstLine="640" w:firstLineChars="200"/>
        <w:textAlignment w:val="auto"/>
        <w:rPr>
          <w:rFonts w:hint="eastAsia" w:ascii="楷体" w:hAnsi="楷体" w:eastAsia="楷体" w:cs="楷体"/>
          <w:bCs/>
          <w:kern w:val="0"/>
          <w:sz w:val="32"/>
          <w:szCs w:val="32"/>
        </w:rPr>
      </w:pPr>
      <w:r>
        <w:rPr>
          <w:rFonts w:hint="eastAsia" w:ascii="楷体" w:hAnsi="楷体" w:eastAsia="楷体" w:cs="楷体"/>
          <w:bCs/>
          <w:kern w:val="0"/>
          <w:sz w:val="32"/>
          <w:szCs w:val="32"/>
        </w:rPr>
        <w:t>（三）比赛地点</w:t>
      </w:r>
    </w:p>
    <w:p>
      <w:pPr>
        <w:keepNext w:val="0"/>
        <w:keepLines w:val="0"/>
        <w:pageBreakBefore w:val="0"/>
        <w:kinsoku/>
        <w:wordWrap/>
        <w:overflowPunct/>
        <w:topLinePunct w:val="0"/>
        <w:bidi w:val="0"/>
        <w:snapToGrid/>
        <w:spacing w:line="560" w:lineRule="exact"/>
        <w:ind w:firstLine="64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淄博市体育中心篮球馆（地址：山东省淄博市张店区人民西路321号）。</w:t>
      </w:r>
    </w:p>
    <w:p>
      <w:pPr>
        <w:keepNext w:val="0"/>
        <w:keepLines w:val="0"/>
        <w:pageBreakBefore w:val="0"/>
        <w:kinsoku/>
        <w:wordWrap/>
        <w:overflowPunct/>
        <w:topLinePunct w:val="0"/>
        <w:bidi w:val="0"/>
        <w:snapToGrid/>
        <w:spacing w:line="560" w:lineRule="exac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 xml:space="preserve">  </w:t>
      </w:r>
      <w:r>
        <w:rPr>
          <w:rFonts w:hint="eastAsia" w:ascii="黑体" w:hAnsi="黑体" w:eastAsia="黑体" w:cs="黑体"/>
          <w:b w:val="0"/>
          <w:bCs w:val="0"/>
          <w:kern w:val="0"/>
          <w:sz w:val="32"/>
          <w:szCs w:val="32"/>
        </w:rPr>
        <w:t xml:space="preserve">  四、赛程赛制</w:t>
      </w:r>
    </w:p>
    <w:p>
      <w:pPr>
        <w:keepNext w:val="0"/>
        <w:keepLines w:val="0"/>
        <w:pageBreakBefore w:val="0"/>
        <w:widowControl/>
        <w:kinsoku/>
        <w:wordWrap/>
        <w:overflowPunct/>
        <w:topLinePunct w:val="0"/>
        <w:autoSpaceDE w:val="0"/>
        <w:autoSpaceDN w:val="0"/>
        <w:bidi w:val="0"/>
        <w:adjustRightInd w:val="0"/>
        <w:snapToGrid/>
        <w:spacing w:line="56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sz w:val="32"/>
          <w:szCs w:val="32"/>
        </w:rPr>
        <w:t>两个竞赛项目，均由小组赛和淘汰赛两阶段组成。</w:t>
      </w:r>
      <w:r>
        <w:rPr>
          <w:rFonts w:hint="eastAsia" w:ascii="仿宋" w:hAnsi="仿宋" w:eastAsia="仿宋" w:cs="仿宋"/>
          <w:kern w:val="0"/>
          <w:sz w:val="32"/>
          <w:szCs w:val="32"/>
        </w:rPr>
        <w:t>详细赛程赛制，根据实际报名情况确定，另行补充通知。</w:t>
      </w:r>
    </w:p>
    <w:p>
      <w:pPr>
        <w:keepNext w:val="0"/>
        <w:keepLines w:val="0"/>
        <w:pageBreakBefore w:val="0"/>
        <w:widowControl/>
        <w:kinsoku/>
        <w:wordWrap/>
        <w:overflowPunct/>
        <w:topLinePunct w:val="0"/>
        <w:autoSpaceDE w:val="0"/>
        <w:autoSpaceDN w:val="0"/>
        <w:bidi w:val="0"/>
        <w:adjustRightInd w:val="0"/>
        <w:snapToGrid/>
        <w:spacing w:line="560" w:lineRule="exact"/>
        <w:jc w:val="left"/>
        <w:textAlignment w:val="auto"/>
        <w:rPr>
          <w:rFonts w:hint="eastAsia" w:ascii="黑体" w:hAnsi="黑体" w:eastAsia="黑体" w:cs="黑体"/>
          <w:b w:val="0"/>
          <w:bCs/>
          <w:kern w:val="0"/>
          <w:sz w:val="32"/>
          <w:szCs w:val="32"/>
        </w:rPr>
      </w:pPr>
      <w:r>
        <w:rPr>
          <w:rFonts w:hint="eastAsia" w:ascii="仿宋" w:hAnsi="仿宋" w:eastAsia="仿宋" w:cs="仿宋"/>
          <w:b/>
          <w:kern w:val="0"/>
          <w:sz w:val="32"/>
          <w:szCs w:val="32"/>
        </w:rPr>
        <w:t xml:space="preserve">  </w:t>
      </w:r>
      <w:r>
        <w:rPr>
          <w:rFonts w:hint="eastAsia" w:ascii="黑体" w:hAnsi="黑体" w:eastAsia="黑体" w:cs="黑体"/>
          <w:b w:val="0"/>
          <w:bCs/>
          <w:kern w:val="0"/>
          <w:sz w:val="32"/>
          <w:szCs w:val="32"/>
        </w:rPr>
        <w:t xml:space="preserve">  五、营商座谈与考察</w:t>
      </w:r>
    </w:p>
    <w:p>
      <w:pPr>
        <w:keepNext w:val="0"/>
        <w:keepLines w:val="0"/>
        <w:pageBreakBefore w:val="0"/>
        <w:widowControl/>
        <w:kinsoku/>
        <w:wordWrap/>
        <w:overflowPunct/>
        <w:topLinePunct w:val="0"/>
        <w:autoSpaceDE w:val="0"/>
        <w:autoSpaceDN w:val="0"/>
        <w:bidi w:val="0"/>
        <w:adjustRightInd w:val="0"/>
        <w:snapToGrid/>
        <w:spacing w:line="560" w:lineRule="exact"/>
        <w:ind w:firstLine="640"/>
        <w:jc w:val="left"/>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本届赛事配套组织“招商与营商座谈及考察”，以职工体育赛事为契机，助力相关企业和单位全面、深入了解淄博市张店区的产业发展规划、营商环境与支持政策。</w:t>
      </w:r>
    </w:p>
    <w:p>
      <w:pPr>
        <w:keepNext w:val="0"/>
        <w:keepLines w:val="0"/>
        <w:pageBreakBefore w:val="0"/>
        <w:widowControl/>
        <w:kinsoku/>
        <w:wordWrap/>
        <w:overflowPunct/>
        <w:topLinePunct w:val="0"/>
        <w:autoSpaceDE w:val="0"/>
        <w:autoSpaceDN w:val="0"/>
        <w:bidi w:val="0"/>
        <w:adjustRightInd w:val="0"/>
        <w:snapToGrid/>
        <w:spacing w:line="560" w:lineRule="exact"/>
        <w:ind w:firstLine="640"/>
        <w:jc w:val="left"/>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请各参赛球队报名时，将单位业务负责人作为随员、一并填入《报名表》，参加配套举办的座谈及考察活动。</w:t>
      </w:r>
    </w:p>
    <w:p>
      <w:pPr>
        <w:keepNext w:val="0"/>
        <w:keepLines w:val="0"/>
        <w:pageBreakBefore w:val="0"/>
        <w:widowControl/>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r>
        <w:rPr>
          <w:rFonts w:hint="eastAsia" w:ascii="黑体" w:hAnsi="黑体" w:eastAsia="黑体" w:cs="黑体"/>
          <w:b w:val="0"/>
          <w:bCs/>
          <w:kern w:val="0"/>
          <w:sz w:val="32"/>
          <w:szCs w:val="32"/>
        </w:rPr>
        <w:t xml:space="preserve"> 六、疫情防控</w:t>
      </w:r>
    </w:p>
    <w:p>
      <w:pPr>
        <w:keepNext w:val="0"/>
        <w:keepLines w:val="0"/>
        <w:pageBreakBefore w:val="0"/>
        <w:widowControl/>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sz w:val="32"/>
          <w:szCs w:val="32"/>
        </w:rPr>
      </w:pPr>
      <w:r>
        <w:rPr>
          <w:rFonts w:hint="eastAsia" w:ascii="仿宋" w:hAnsi="仿宋" w:eastAsia="仿宋" w:cs="仿宋"/>
          <w:kern w:val="0"/>
          <w:sz w:val="32"/>
          <w:szCs w:val="32"/>
        </w:rPr>
        <w:t xml:space="preserve">    （一）</w:t>
      </w:r>
      <w:r>
        <w:rPr>
          <w:rFonts w:hint="eastAsia" w:ascii="仿宋" w:hAnsi="仿宋" w:eastAsia="仿宋" w:cs="仿宋"/>
          <w:sz w:val="32"/>
          <w:szCs w:val="32"/>
        </w:rPr>
        <w:t>本届赛事（含配套活动）仅允许来自于低风险地区、且在赛事报到日之前14天内一直停留在低风险地区的人员参加。</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（二）</w:t>
      </w:r>
      <w:r>
        <w:rPr>
          <w:rFonts w:hint="eastAsia" w:ascii="仿宋" w:hAnsi="仿宋" w:eastAsia="仿宋" w:cs="仿宋"/>
          <w:sz w:val="32"/>
          <w:szCs w:val="32"/>
        </w:rPr>
        <w:t>参赛球队所有成员，须在出发前往赛区前，至少自行进行一次全员核酸检测，有效期为报到日（含）前7日之内。核酸检测报告显示为阴性者，方可参加赛事（含配套活动），并须在抵达后，将核酸检测报告复印件统一交至组委会。否则，须在抵达赛区后，立即前往指定地点，进行核酸检测；结果产生前，须在指定地点封闭等候，不得擅自外出。</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（三）参赛球队须遵守组委会关于赛事疫情防控工作的其他通知与规定。</w:t>
      </w:r>
    </w:p>
    <w:p>
      <w:pPr>
        <w:keepNext w:val="0"/>
        <w:keepLines w:val="0"/>
        <w:pageBreakBefore w:val="0"/>
        <w:widowControl/>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r>
        <w:rPr>
          <w:rFonts w:hint="eastAsia" w:ascii="黑体" w:hAnsi="黑体" w:eastAsia="黑体" w:cs="黑体"/>
          <w:b w:val="0"/>
          <w:bCs/>
          <w:kern w:val="0"/>
          <w:sz w:val="32"/>
          <w:szCs w:val="32"/>
        </w:rPr>
        <w:t>七、参赛费用</w:t>
      </w:r>
    </w:p>
    <w:p>
      <w:pPr>
        <w:keepNext w:val="0"/>
        <w:keepLines w:val="0"/>
        <w:pageBreakBefore w:val="0"/>
        <w:widowControl/>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val="0"/>
          <w:kern w:val="0"/>
          <w:sz w:val="32"/>
          <w:szCs w:val="32"/>
        </w:rPr>
      </w:pPr>
      <w:r>
        <w:rPr>
          <w:rFonts w:hint="eastAsia" w:ascii="仿宋" w:hAnsi="仿宋" w:eastAsia="仿宋" w:cs="仿宋"/>
          <w:kern w:val="0"/>
          <w:sz w:val="32"/>
          <w:szCs w:val="32"/>
        </w:rPr>
        <w:t xml:space="preserve">    （一）组委会统一提供食宿协调服务，食宿费用由参赛队自理</w:t>
      </w:r>
      <w:r>
        <w:rPr>
          <w:rFonts w:hint="eastAsia" w:ascii="仿宋" w:hAnsi="仿宋" w:eastAsia="仿宋" w:cs="仿宋"/>
          <w:b w:val="0"/>
          <w:bCs w:val="0"/>
          <w:kern w:val="0"/>
          <w:sz w:val="32"/>
          <w:szCs w:val="32"/>
        </w:rPr>
        <w:t>。其中，住宿费在报名时向我会缴纳，餐费在赛事期间向官方接待酒店餐厅缴纳（由餐厅提供发票）。</w:t>
      </w:r>
    </w:p>
    <w:p>
      <w:pPr>
        <w:keepNext w:val="0"/>
        <w:keepLines w:val="0"/>
        <w:pageBreakBefore w:val="0"/>
        <w:widowControl/>
        <w:kinsoku/>
        <w:wordWrap/>
        <w:overflowPunct/>
        <w:topLinePunct w:val="0"/>
        <w:autoSpaceDE w:val="0"/>
        <w:autoSpaceDN w:val="0"/>
        <w:bidi w:val="0"/>
        <w:adjustRightInd w:val="0"/>
        <w:snapToGrid/>
        <w:spacing w:line="56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（二）赛事期间，组委会提供官方接待酒店与比赛场地之间的摆渡车服务。摆渡车运营时间，另行补充通知，参赛球队应准时搭乘；否则，自行往返。</w:t>
      </w:r>
    </w:p>
    <w:p>
      <w:pPr>
        <w:keepNext w:val="0"/>
        <w:keepLines w:val="0"/>
        <w:pageBreakBefore w:val="0"/>
        <w:widowControl/>
        <w:kinsoku/>
        <w:wordWrap/>
        <w:overflowPunct/>
        <w:topLinePunct w:val="0"/>
        <w:autoSpaceDE w:val="0"/>
        <w:autoSpaceDN w:val="0"/>
        <w:bidi w:val="0"/>
        <w:adjustRightInd w:val="0"/>
        <w:snapToGrid/>
        <w:spacing w:line="56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三）组委会统一为参赛队符合参赛资格的运动员和球队成员，提供赛事期间的意外伤害保险，理赔范围与最高赔付金额如下（请各球队报名时务必提供准确的身份证件信息，如因身份证件信息有误，影响出险理赔，责任自负）：</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1.意外伤亡和残疾最高20万元；</w:t>
      </w:r>
    </w:p>
    <w:p>
      <w:pPr>
        <w:keepNext w:val="0"/>
        <w:keepLines w:val="0"/>
        <w:pageBreakBefore w:val="0"/>
        <w:widowControl/>
        <w:kinsoku/>
        <w:wordWrap/>
        <w:overflowPunct/>
        <w:topLinePunct w:val="0"/>
        <w:autoSpaceDE w:val="0"/>
        <w:autoSpaceDN w:val="0"/>
        <w:bidi w:val="0"/>
        <w:adjustRightInd w:val="0"/>
        <w:snapToGrid/>
        <w:spacing w:line="56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2.意外医疗补偿最高4.2万元；</w:t>
      </w:r>
    </w:p>
    <w:p>
      <w:pPr>
        <w:keepNext w:val="0"/>
        <w:keepLines w:val="0"/>
        <w:pageBreakBefore w:val="0"/>
        <w:widowControl/>
        <w:kinsoku/>
        <w:wordWrap/>
        <w:overflowPunct/>
        <w:topLinePunct w:val="0"/>
        <w:autoSpaceDE w:val="0"/>
        <w:autoSpaceDN w:val="0"/>
        <w:bidi w:val="0"/>
        <w:adjustRightInd w:val="0"/>
        <w:snapToGrid/>
        <w:spacing w:line="56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3.辅助器具费用最高0.5万元；</w:t>
      </w:r>
    </w:p>
    <w:p>
      <w:pPr>
        <w:keepNext w:val="0"/>
        <w:keepLines w:val="0"/>
        <w:pageBreakBefore w:val="0"/>
        <w:widowControl/>
        <w:kinsoku/>
        <w:wordWrap/>
        <w:overflowPunct/>
        <w:topLinePunct w:val="0"/>
        <w:autoSpaceDE w:val="0"/>
        <w:autoSpaceDN w:val="0"/>
        <w:bidi w:val="0"/>
        <w:adjustRightInd w:val="0"/>
        <w:snapToGrid/>
        <w:spacing w:line="56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4.交通费用最高0.1万元；</w:t>
      </w:r>
    </w:p>
    <w:p>
      <w:pPr>
        <w:keepNext w:val="0"/>
        <w:keepLines w:val="0"/>
        <w:pageBreakBefore w:val="0"/>
        <w:widowControl/>
        <w:kinsoku/>
        <w:wordWrap/>
        <w:overflowPunct/>
        <w:topLinePunct w:val="0"/>
        <w:autoSpaceDE w:val="0"/>
        <w:autoSpaceDN w:val="0"/>
        <w:bidi w:val="0"/>
        <w:adjustRightInd w:val="0"/>
        <w:snapToGrid/>
        <w:spacing w:line="56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5.护理费用最高0.2万元（80元/天）；</w:t>
      </w:r>
    </w:p>
    <w:p>
      <w:pPr>
        <w:keepNext w:val="0"/>
        <w:keepLines w:val="0"/>
        <w:pageBreakBefore w:val="0"/>
        <w:widowControl/>
        <w:kinsoku/>
        <w:wordWrap/>
        <w:overflowPunct/>
        <w:topLinePunct w:val="0"/>
        <w:autoSpaceDE w:val="0"/>
        <w:autoSpaceDN w:val="0"/>
        <w:bidi w:val="0"/>
        <w:adjustRightInd w:val="0"/>
        <w:snapToGrid/>
        <w:spacing w:line="56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6.精神损害赔偿责任最高5万元；</w:t>
      </w:r>
    </w:p>
    <w:p>
      <w:pPr>
        <w:keepNext w:val="0"/>
        <w:keepLines w:val="0"/>
        <w:pageBreakBefore w:val="0"/>
        <w:widowControl/>
        <w:kinsoku/>
        <w:wordWrap/>
        <w:overflowPunct/>
        <w:topLinePunct w:val="0"/>
        <w:autoSpaceDE w:val="0"/>
        <w:autoSpaceDN w:val="0"/>
        <w:bidi w:val="0"/>
        <w:adjustRightInd w:val="0"/>
        <w:snapToGrid/>
        <w:spacing w:line="56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7.第三者责任险赔偿最高5万元。</w:t>
      </w:r>
    </w:p>
    <w:p>
      <w:pPr>
        <w:keepNext w:val="0"/>
        <w:keepLines w:val="0"/>
        <w:pageBreakBefore w:val="0"/>
        <w:widowControl/>
        <w:kinsoku/>
        <w:wordWrap/>
        <w:overflowPunct/>
        <w:topLinePunct w:val="0"/>
        <w:autoSpaceDE w:val="0"/>
        <w:autoSpaceDN w:val="0"/>
        <w:bidi w:val="0"/>
        <w:adjustRightInd w:val="0"/>
        <w:snapToGrid/>
        <w:spacing w:line="560" w:lineRule="exact"/>
        <w:ind w:firstLine="640"/>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因体育比赛具有导致受伤的风险、且受伤严重程度无法预估，参赛队须酌情决定是否自行加购其他保险保障，并承担由此产生的费用和责任。</w:t>
      </w:r>
    </w:p>
    <w:p>
      <w:pPr>
        <w:keepNext w:val="0"/>
        <w:keepLines w:val="0"/>
        <w:pageBreakBefore w:val="0"/>
        <w:widowControl/>
        <w:kinsoku/>
        <w:wordWrap/>
        <w:overflowPunct/>
        <w:topLinePunct w:val="0"/>
        <w:autoSpaceDE w:val="0"/>
        <w:autoSpaceDN w:val="0"/>
        <w:bidi w:val="0"/>
        <w:adjustRightInd w:val="0"/>
        <w:snapToGrid/>
        <w:spacing w:line="56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（四）已缴纳2021年度会费的单位，参赛无需缴纳赛事服务费。未缴纳2021年度会费的单位或非会员单位，应缴纳赛事服务费，具体标准为：</w:t>
      </w:r>
    </w:p>
    <w:p>
      <w:pPr>
        <w:keepNext w:val="0"/>
        <w:keepLines w:val="0"/>
        <w:pageBreakBefore w:val="0"/>
        <w:widowControl/>
        <w:kinsoku/>
        <w:wordWrap/>
        <w:overflowPunct/>
        <w:topLinePunct w:val="0"/>
        <w:autoSpaceDE w:val="0"/>
        <w:autoSpaceDN w:val="0"/>
        <w:bidi w:val="0"/>
        <w:adjustRightInd w:val="0"/>
        <w:snapToGrid/>
        <w:spacing w:line="56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1.五人制项目，</w:t>
      </w:r>
      <w:r>
        <w:rPr>
          <w:rFonts w:hint="eastAsia" w:ascii="仿宋" w:hAnsi="仿宋" w:eastAsia="仿宋" w:cs="仿宋"/>
          <w:bCs/>
          <w:kern w:val="0"/>
          <w:sz w:val="32"/>
          <w:szCs w:val="32"/>
        </w:rPr>
        <w:t>¥</w:t>
      </w:r>
      <w:r>
        <w:rPr>
          <w:rFonts w:hint="eastAsia" w:ascii="仿宋" w:hAnsi="仿宋" w:eastAsia="仿宋" w:cs="仿宋"/>
          <w:kern w:val="0"/>
          <w:sz w:val="32"/>
          <w:szCs w:val="32"/>
        </w:rPr>
        <w:t>300／运动员；</w:t>
      </w:r>
    </w:p>
    <w:p>
      <w:pPr>
        <w:keepNext w:val="0"/>
        <w:keepLines w:val="0"/>
        <w:pageBreakBefore w:val="0"/>
        <w:widowControl/>
        <w:kinsoku/>
        <w:wordWrap/>
        <w:overflowPunct/>
        <w:topLinePunct w:val="0"/>
        <w:autoSpaceDE w:val="0"/>
        <w:autoSpaceDN w:val="0"/>
        <w:bidi w:val="0"/>
        <w:adjustRightInd w:val="0"/>
        <w:snapToGrid/>
        <w:spacing w:line="56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2.三人制项目，</w:t>
      </w:r>
      <w:r>
        <w:rPr>
          <w:rFonts w:hint="eastAsia" w:ascii="仿宋" w:hAnsi="仿宋" w:eastAsia="仿宋" w:cs="仿宋"/>
          <w:bCs/>
          <w:kern w:val="0"/>
          <w:sz w:val="32"/>
          <w:szCs w:val="32"/>
        </w:rPr>
        <w:t>¥</w:t>
      </w:r>
      <w:r>
        <w:rPr>
          <w:rFonts w:hint="eastAsia" w:ascii="仿宋" w:hAnsi="仿宋" w:eastAsia="仿宋" w:cs="仿宋"/>
          <w:kern w:val="0"/>
          <w:sz w:val="32"/>
          <w:szCs w:val="32"/>
        </w:rPr>
        <w:t>150／运动员。</w:t>
      </w:r>
    </w:p>
    <w:p>
      <w:pPr>
        <w:keepNext w:val="0"/>
        <w:keepLines w:val="0"/>
        <w:pageBreakBefore w:val="0"/>
        <w:widowControl/>
        <w:kinsoku/>
        <w:wordWrap/>
        <w:overflowPunct/>
        <w:topLinePunct w:val="0"/>
        <w:autoSpaceDE w:val="0"/>
        <w:autoSpaceDN w:val="0"/>
        <w:bidi w:val="0"/>
        <w:adjustRightInd w:val="0"/>
        <w:snapToGrid/>
        <w:spacing w:line="56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（五）为严肃赛场纪律，各参赛球队报名时须缴纳纪律保证金，具体标准为：</w:t>
      </w:r>
    </w:p>
    <w:p>
      <w:pPr>
        <w:keepNext w:val="0"/>
        <w:keepLines w:val="0"/>
        <w:pageBreakBefore w:val="0"/>
        <w:widowControl/>
        <w:kinsoku/>
        <w:wordWrap/>
        <w:overflowPunct/>
        <w:topLinePunct w:val="0"/>
        <w:autoSpaceDE w:val="0"/>
        <w:autoSpaceDN w:val="0"/>
        <w:bidi w:val="0"/>
        <w:adjustRightInd w:val="0"/>
        <w:snapToGrid/>
        <w:spacing w:line="56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1.五人制项目，</w:t>
      </w:r>
      <w:r>
        <w:rPr>
          <w:rFonts w:hint="eastAsia" w:ascii="仿宋" w:hAnsi="仿宋" w:eastAsia="仿宋" w:cs="仿宋"/>
          <w:bCs/>
          <w:kern w:val="0"/>
          <w:sz w:val="32"/>
          <w:szCs w:val="32"/>
        </w:rPr>
        <w:t>¥</w:t>
      </w:r>
      <w:r>
        <w:rPr>
          <w:rFonts w:hint="eastAsia" w:ascii="仿宋" w:hAnsi="仿宋" w:eastAsia="仿宋" w:cs="仿宋"/>
          <w:kern w:val="0"/>
          <w:sz w:val="32"/>
          <w:szCs w:val="32"/>
        </w:rPr>
        <w:t>2,000／队；</w:t>
      </w:r>
    </w:p>
    <w:p>
      <w:pPr>
        <w:keepNext w:val="0"/>
        <w:keepLines w:val="0"/>
        <w:pageBreakBefore w:val="0"/>
        <w:widowControl/>
        <w:kinsoku/>
        <w:wordWrap/>
        <w:overflowPunct/>
        <w:topLinePunct w:val="0"/>
        <w:autoSpaceDE w:val="0"/>
        <w:autoSpaceDN w:val="0"/>
        <w:bidi w:val="0"/>
        <w:adjustRightInd w:val="0"/>
        <w:snapToGrid/>
        <w:spacing w:line="56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2.三人制项目，</w:t>
      </w:r>
      <w:r>
        <w:rPr>
          <w:rFonts w:hint="eastAsia" w:ascii="仿宋" w:hAnsi="仿宋" w:eastAsia="仿宋" w:cs="仿宋"/>
          <w:bCs/>
          <w:kern w:val="0"/>
          <w:sz w:val="32"/>
          <w:szCs w:val="32"/>
        </w:rPr>
        <w:t>¥</w:t>
      </w:r>
      <w:r>
        <w:rPr>
          <w:rFonts w:hint="eastAsia" w:ascii="仿宋" w:hAnsi="仿宋" w:eastAsia="仿宋" w:cs="仿宋"/>
          <w:kern w:val="0"/>
          <w:sz w:val="32"/>
          <w:szCs w:val="32"/>
        </w:rPr>
        <w:t>1,000／队。</w:t>
      </w:r>
    </w:p>
    <w:p>
      <w:pPr>
        <w:keepNext w:val="0"/>
        <w:keepLines w:val="0"/>
        <w:pageBreakBefore w:val="0"/>
        <w:widowControl/>
        <w:kinsoku/>
        <w:wordWrap/>
        <w:overflowPunct/>
        <w:topLinePunct w:val="0"/>
        <w:autoSpaceDE w:val="0"/>
        <w:autoSpaceDN w:val="0"/>
        <w:bidi w:val="0"/>
        <w:adjustRightInd w:val="0"/>
        <w:snapToGrid/>
        <w:spacing w:line="56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赛事全部场次比赛结束后7日内，组委会向未出现纪律问题</w:t>
      </w:r>
    </w:p>
    <w:p>
      <w:pPr>
        <w:keepNext w:val="0"/>
        <w:keepLines w:val="0"/>
        <w:pageBreakBefore w:val="0"/>
        <w:widowControl/>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的球队全额退还纪律保证金。如球队出现纪律问题，相关罚款由组委会根据赛事《规程》规定，从纪律保证金内扣除，并提供收据和证明。</w:t>
      </w:r>
    </w:p>
    <w:p>
      <w:pPr>
        <w:keepNext w:val="0"/>
        <w:keepLines w:val="0"/>
        <w:pageBreakBefore w:val="0"/>
        <w:widowControl/>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kern w:val="0"/>
          <w:sz w:val="32"/>
          <w:szCs w:val="32"/>
        </w:rPr>
      </w:pPr>
      <w:r>
        <w:rPr>
          <w:rFonts w:hint="eastAsia" w:ascii="仿宋" w:hAnsi="仿宋" w:eastAsia="仿宋" w:cs="仿宋"/>
          <w:kern w:val="0"/>
          <w:sz w:val="32"/>
          <w:szCs w:val="32"/>
        </w:rPr>
        <w:t xml:space="preserve">    （六）</w:t>
      </w:r>
      <w:r>
        <w:rPr>
          <w:rFonts w:hint="eastAsia" w:ascii="仿宋" w:hAnsi="仿宋" w:eastAsia="仿宋" w:cs="仿宋"/>
          <w:b w:val="0"/>
          <w:bCs/>
          <w:kern w:val="0"/>
          <w:sz w:val="32"/>
          <w:szCs w:val="32"/>
        </w:rPr>
        <w:t>住宿费、赛事服务费和纪律保证金，在各参赛球队报名时，以银行汇款方式、一次性汇入中国企业</w:t>
      </w:r>
      <w:r>
        <w:rPr>
          <w:rFonts w:hint="eastAsia" w:ascii="仿宋" w:hAnsi="仿宋" w:eastAsia="仿宋" w:cs="仿宋"/>
          <w:b w:val="0"/>
          <w:bCs/>
          <w:kern w:val="0"/>
          <w:sz w:val="32"/>
          <w:szCs w:val="32"/>
          <w:lang w:eastAsia="zh-CN"/>
        </w:rPr>
        <w:t>体育协会</w:t>
      </w:r>
      <w:r>
        <w:rPr>
          <w:rFonts w:hint="eastAsia" w:ascii="仿宋" w:hAnsi="仿宋" w:eastAsia="仿宋" w:cs="仿宋"/>
          <w:b w:val="0"/>
          <w:bCs/>
          <w:kern w:val="0"/>
          <w:sz w:val="32"/>
          <w:szCs w:val="32"/>
        </w:rPr>
        <w:t>银行账户，我会提供增值税普通发票（住宿费、赛事服务费）和社会组织专用收据（纪律保证金及罚款）。</w:t>
      </w:r>
    </w:p>
    <w:p>
      <w:pPr>
        <w:keepNext w:val="0"/>
        <w:keepLines w:val="0"/>
        <w:pageBreakBefore w:val="0"/>
        <w:widowControl/>
        <w:kinsoku/>
        <w:wordWrap/>
        <w:overflowPunct/>
        <w:topLinePunct w:val="0"/>
        <w:autoSpaceDE w:val="0"/>
        <w:autoSpaceDN w:val="0"/>
        <w:bidi w:val="0"/>
        <w:adjustRightInd w:val="0"/>
        <w:snapToGrid/>
        <w:spacing w:line="560" w:lineRule="exact"/>
        <w:jc w:val="left"/>
        <w:textAlignment w:val="auto"/>
        <w:rPr>
          <w:rFonts w:hint="eastAsia" w:ascii="楷体" w:hAnsi="楷体" w:eastAsia="楷体" w:cs="楷体"/>
          <w:kern w:val="0"/>
          <w:sz w:val="32"/>
          <w:szCs w:val="32"/>
        </w:rPr>
      </w:pPr>
      <w:r>
        <w:rPr>
          <w:rFonts w:hint="eastAsia" w:ascii="仿宋" w:hAnsi="仿宋" w:eastAsia="仿宋" w:cs="仿宋"/>
          <w:kern w:val="0"/>
          <w:sz w:val="32"/>
          <w:szCs w:val="32"/>
        </w:rPr>
        <w:t>　　</w:t>
      </w:r>
      <w:r>
        <w:rPr>
          <w:rFonts w:hint="eastAsia" w:ascii="楷体" w:hAnsi="楷体" w:eastAsia="楷体" w:cs="楷体"/>
          <w:kern w:val="0"/>
          <w:sz w:val="32"/>
          <w:szCs w:val="32"/>
        </w:rPr>
        <w:t>户    名：中国企业体育协会</w:t>
      </w:r>
    </w:p>
    <w:p>
      <w:pPr>
        <w:keepNext w:val="0"/>
        <w:keepLines w:val="0"/>
        <w:pageBreakBefore w:val="0"/>
        <w:widowControl/>
        <w:kinsoku/>
        <w:wordWrap/>
        <w:overflowPunct/>
        <w:topLinePunct w:val="0"/>
        <w:autoSpaceDE w:val="0"/>
        <w:autoSpaceDN w:val="0"/>
        <w:bidi w:val="0"/>
        <w:adjustRightInd w:val="0"/>
        <w:snapToGrid/>
        <w:spacing w:line="560" w:lineRule="exact"/>
        <w:jc w:val="left"/>
        <w:textAlignment w:val="auto"/>
        <w:rPr>
          <w:rFonts w:hint="eastAsia" w:ascii="楷体" w:hAnsi="楷体" w:eastAsia="楷体" w:cs="楷体"/>
          <w:kern w:val="0"/>
          <w:sz w:val="32"/>
          <w:szCs w:val="32"/>
        </w:rPr>
      </w:pPr>
      <w:r>
        <w:rPr>
          <w:rFonts w:hint="eastAsia" w:ascii="楷体" w:hAnsi="楷体" w:eastAsia="楷体" w:cs="楷体"/>
          <w:kern w:val="0"/>
          <w:sz w:val="32"/>
          <w:szCs w:val="32"/>
        </w:rPr>
        <w:t>　　开户银行：中国建设银行北京静安庄支行</w:t>
      </w:r>
    </w:p>
    <w:p>
      <w:pPr>
        <w:keepNext w:val="0"/>
        <w:keepLines w:val="0"/>
        <w:pageBreakBefore w:val="0"/>
        <w:widowControl/>
        <w:kinsoku/>
        <w:wordWrap/>
        <w:overflowPunct/>
        <w:topLinePunct w:val="0"/>
        <w:autoSpaceDE w:val="0"/>
        <w:autoSpaceDN w:val="0"/>
        <w:bidi w:val="0"/>
        <w:adjustRightInd w:val="0"/>
        <w:snapToGrid/>
        <w:spacing w:line="560" w:lineRule="exact"/>
        <w:ind w:firstLine="640"/>
        <w:jc w:val="left"/>
        <w:textAlignment w:val="auto"/>
        <w:rPr>
          <w:rFonts w:hint="eastAsia" w:ascii="楷体" w:hAnsi="楷体" w:eastAsia="楷体" w:cs="楷体"/>
          <w:kern w:val="0"/>
          <w:sz w:val="32"/>
          <w:szCs w:val="32"/>
        </w:rPr>
      </w:pPr>
      <w:r>
        <w:rPr>
          <w:rFonts w:hint="eastAsia" w:ascii="楷体" w:hAnsi="楷体" w:eastAsia="楷体" w:cs="楷体"/>
          <w:kern w:val="0"/>
          <w:sz w:val="32"/>
          <w:szCs w:val="32"/>
        </w:rPr>
        <w:t>账    号：11050166540000000144</w:t>
      </w:r>
    </w:p>
    <w:p>
      <w:pPr>
        <w:keepNext w:val="0"/>
        <w:keepLines w:val="0"/>
        <w:pageBreakBefore w:val="0"/>
        <w:widowControl/>
        <w:kinsoku/>
        <w:wordWrap/>
        <w:overflowPunct/>
        <w:topLinePunct w:val="0"/>
        <w:autoSpaceDE w:val="0"/>
        <w:autoSpaceDN w:val="0"/>
        <w:bidi w:val="0"/>
        <w:adjustRightInd w:val="0"/>
        <w:snapToGrid/>
        <w:spacing w:line="560" w:lineRule="exact"/>
        <w:ind w:firstLine="64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lang w:eastAsia="zh-CN"/>
        </w:rPr>
        <w:t>八、报名</w:t>
      </w:r>
      <w:r>
        <w:rPr>
          <w:rFonts w:hint="eastAsia" w:ascii="黑体" w:hAnsi="黑体" w:eastAsia="黑体" w:cs="黑体"/>
          <w:kern w:val="0"/>
          <w:sz w:val="32"/>
          <w:szCs w:val="32"/>
        </w:rPr>
        <w:t>联系人</w:t>
      </w:r>
    </w:p>
    <w:p>
      <w:pPr>
        <w:keepNext w:val="0"/>
        <w:keepLines w:val="0"/>
        <w:pageBreakBefore w:val="0"/>
        <w:widowControl/>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kern w:val="0"/>
          <w:sz w:val="32"/>
          <w:szCs w:val="32"/>
          <w:lang w:val="en-US" w:eastAsia="zh-CN"/>
        </w:rPr>
      </w:pPr>
      <w:r>
        <w:rPr>
          <w:rFonts w:hint="eastAsia" w:ascii="仿宋" w:hAnsi="仿宋" w:eastAsia="仿宋" w:cs="仿宋"/>
          <w:b/>
          <w:kern w:val="0"/>
          <w:sz w:val="32"/>
          <w:szCs w:val="32"/>
        </w:rPr>
        <w:t xml:space="preserve">    </w:t>
      </w:r>
      <w:r>
        <w:rPr>
          <w:rFonts w:hint="eastAsia" w:ascii="楷体" w:hAnsi="楷体" w:eastAsia="楷体" w:cs="楷体"/>
          <w:b w:val="0"/>
          <w:bCs/>
          <w:kern w:val="0"/>
          <w:sz w:val="32"/>
          <w:szCs w:val="32"/>
          <w:lang w:eastAsia="zh-CN"/>
        </w:rPr>
        <w:t>（一）五人制</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 w:hAnsi="仿宋" w:eastAsia="仿宋" w:cs="仿宋"/>
          <w:b/>
          <w:kern w:val="0"/>
          <w:sz w:val="32"/>
          <w:szCs w:val="32"/>
        </w:rPr>
      </w:pPr>
      <w:r>
        <w:rPr>
          <w:rFonts w:hint="eastAsia" w:ascii="仿宋" w:hAnsi="仿宋" w:eastAsia="仿宋" w:cs="仿宋"/>
          <w:kern w:val="0"/>
          <w:sz w:val="32"/>
          <w:szCs w:val="32"/>
        </w:rPr>
        <w:t>姓  名：白宝林</w:t>
      </w:r>
    </w:p>
    <w:p>
      <w:pPr>
        <w:keepNext w:val="0"/>
        <w:keepLines w:val="0"/>
        <w:pageBreakBefore w:val="0"/>
        <w:widowControl/>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电  话：177 1005 5345</w:t>
      </w:r>
    </w:p>
    <w:p>
      <w:pPr>
        <w:keepNext w:val="0"/>
        <w:keepLines w:val="0"/>
        <w:pageBreakBefore w:val="0"/>
        <w:widowControl/>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邮  箱：baibaolin@cesa.org.cn</w:t>
      </w:r>
    </w:p>
    <w:p>
      <w:pPr>
        <w:keepNext w:val="0"/>
        <w:keepLines w:val="0"/>
        <w:pageBreakBefore w:val="0"/>
        <w:widowControl/>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 xml:space="preserve">   </w:t>
      </w:r>
      <w:r>
        <w:rPr>
          <w:rFonts w:hint="eastAsia" w:ascii="楷体" w:hAnsi="楷体" w:eastAsia="楷体" w:cs="楷体"/>
          <w:kern w:val="0"/>
          <w:sz w:val="32"/>
          <w:szCs w:val="32"/>
        </w:rPr>
        <w:t xml:space="preserve"> </w:t>
      </w:r>
      <w:r>
        <w:rPr>
          <w:rFonts w:hint="eastAsia" w:ascii="楷体" w:hAnsi="楷体" w:eastAsia="楷体" w:cs="楷体"/>
          <w:kern w:val="0"/>
          <w:sz w:val="32"/>
          <w:szCs w:val="32"/>
          <w:lang w:eastAsia="zh-CN"/>
        </w:rPr>
        <w:t>（二）三人制</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姓  名：王美娟</w:t>
      </w:r>
    </w:p>
    <w:p>
      <w:pPr>
        <w:keepNext w:val="0"/>
        <w:keepLines w:val="0"/>
        <w:pageBreakBefore w:val="0"/>
        <w:widowControl/>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电  话：177 3402 1994</w:t>
      </w:r>
    </w:p>
    <w:p>
      <w:pPr>
        <w:keepNext w:val="0"/>
        <w:keepLines w:val="0"/>
        <w:pageBreakBefore w:val="0"/>
        <w:widowControl/>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邮  箱：wangmeijuan@cesa.org.cn</w:t>
      </w:r>
    </w:p>
    <w:p>
      <w:pPr>
        <w:keepNext w:val="0"/>
        <w:keepLines w:val="0"/>
        <w:pageBreakBefore w:val="0"/>
        <w:widowControl/>
        <w:kinsoku/>
        <w:wordWrap/>
        <w:overflowPunct/>
        <w:topLinePunct w:val="0"/>
        <w:autoSpaceDE w:val="0"/>
        <w:autoSpaceDN w:val="0"/>
        <w:bidi w:val="0"/>
        <w:adjustRightInd w:val="0"/>
        <w:snapToGrid/>
        <w:spacing w:line="560" w:lineRule="exact"/>
        <w:ind w:firstLine="640"/>
        <w:jc w:val="left"/>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九</w:t>
      </w:r>
      <w:r>
        <w:rPr>
          <w:rFonts w:hint="eastAsia" w:ascii="黑体" w:hAnsi="黑体" w:eastAsia="黑体" w:cs="黑体"/>
          <w:b w:val="0"/>
          <w:bCs/>
          <w:kern w:val="0"/>
          <w:sz w:val="32"/>
          <w:szCs w:val="32"/>
        </w:rPr>
        <w:t>、其他事项</w:t>
      </w:r>
    </w:p>
    <w:p>
      <w:pPr>
        <w:keepNext w:val="0"/>
        <w:keepLines w:val="0"/>
        <w:pageBreakBefore w:val="0"/>
        <w:widowControl/>
        <w:kinsoku/>
        <w:wordWrap/>
        <w:overflowPunct/>
        <w:topLinePunct w:val="0"/>
        <w:autoSpaceDE w:val="0"/>
        <w:autoSpaceDN w:val="0"/>
        <w:bidi w:val="0"/>
        <w:adjustRightInd w:val="0"/>
        <w:snapToGrid/>
        <w:spacing w:line="56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未尽事宜，另行通知。</w:t>
      </w:r>
    </w:p>
    <w:p>
      <w:pPr>
        <w:pStyle w:val="16"/>
        <w:keepNext w:val="0"/>
        <w:keepLines w:val="0"/>
        <w:pageBreakBefore w:val="0"/>
        <w:widowControl/>
        <w:kinsoku/>
        <w:wordWrap/>
        <w:overflowPunct/>
        <w:topLinePunct w:val="0"/>
        <w:autoSpaceDE w:val="0"/>
        <w:autoSpaceDN w:val="0"/>
        <w:bidi w:val="0"/>
        <w:adjustRightInd w:val="0"/>
        <w:snapToGrid/>
        <w:spacing w:line="560" w:lineRule="exact"/>
        <w:ind w:left="720" w:firstLine="0" w:firstLineChars="0"/>
        <w:jc w:val="left"/>
        <w:textAlignment w:val="auto"/>
        <w:rPr>
          <w:rFonts w:hint="eastAsia" w:ascii="仿宋" w:hAnsi="仿宋" w:eastAsia="仿宋" w:cs="仿宋"/>
          <w:kern w:val="0"/>
          <w:sz w:val="32"/>
          <w:szCs w:val="32"/>
        </w:rPr>
      </w:pP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附件：1.报名表</w:t>
      </w:r>
    </w:p>
    <w:p>
      <w:pPr>
        <w:keepNext w:val="0"/>
        <w:keepLines w:val="0"/>
        <w:pageBreakBefore w:val="0"/>
        <w:widowControl/>
        <w:kinsoku/>
        <w:wordWrap/>
        <w:overflowPunct/>
        <w:topLinePunct w:val="0"/>
        <w:autoSpaceDE w:val="0"/>
        <w:autoSpaceDN w:val="0"/>
        <w:bidi w:val="0"/>
        <w:adjustRightInd w:val="0"/>
        <w:snapToGrid/>
        <w:spacing w:line="560" w:lineRule="exact"/>
        <w:ind w:firstLine="1600" w:firstLineChars="5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2.免责承诺书</w:t>
      </w:r>
    </w:p>
    <w:p>
      <w:pPr>
        <w:keepNext w:val="0"/>
        <w:keepLines w:val="0"/>
        <w:pageBreakBefore w:val="0"/>
        <w:widowControl/>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3.赛事疫情防控责任书</w:t>
      </w:r>
    </w:p>
    <w:p>
      <w:pPr>
        <w:keepNext w:val="0"/>
        <w:keepLines w:val="0"/>
        <w:pageBreakBefore w:val="0"/>
        <w:widowControl/>
        <w:kinsoku/>
        <w:wordWrap/>
        <w:overflowPunct/>
        <w:topLinePunct w:val="0"/>
        <w:autoSpaceDE w:val="0"/>
        <w:autoSpaceDN w:val="0"/>
        <w:bidi w:val="0"/>
        <w:adjustRightInd w:val="0"/>
        <w:snapToGrid/>
        <w:spacing w:line="560" w:lineRule="exact"/>
        <w:ind w:left="2236" w:leftChars="665" w:hanging="640" w:hanging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4.“全国职工健康促进工程·健康运动”2021年第十届全国行业/企业职工男子篮球赛竞赛规程</w:t>
      </w:r>
    </w:p>
    <w:p>
      <w:pPr>
        <w:keepNext w:val="0"/>
        <w:keepLines w:val="0"/>
        <w:pageBreakBefore w:val="0"/>
        <w:widowControl/>
        <w:kinsoku/>
        <w:wordWrap/>
        <w:overflowPunct/>
        <w:topLinePunct w:val="0"/>
        <w:autoSpaceDE w:val="0"/>
        <w:autoSpaceDN w:val="0"/>
        <w:bidi w:val="0"/>
        <w:adjustRightInd w:val="0"/>
        <w:snapToGrid/>
        <w:spacing w:line="560" w:lineRule="exact"/>
        <w:ind w:left="2236" w:leftChars="665" w:hanging="640" w:hanging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5.“全国职工健康促进工程·健康运动”2021年第十届全国行业/企业职工男子篮球赛新冠肺炎疫情防控工作方案</w:t>
      </w:r>
    </w:p>
    <w:p>
      <w:pPr>
        <w:keepNext w:val="0"/>
        <w:keepLines w:val="0"/>
        <w:pageBreakBefore w:val="0"/>
        <w:kinsoku/>
        <w:wordWrap/>
        <w:overflowPunct/>
        <w:topLinePunct w:val="0"/>
        <w:bidi w:val="0"/>
        <w:snapToGrid/>
        <w:spacing w:line="560" w:lineRule="exact"/>
        <w:textAlignment w:val="auto"/>
        <w:rPr>
          <w:rFonts w:hint="eastAsia" w:ascii="仿宋" w:hAnsi="仿宋" w:eastAsia="仿宋" w:cs="仿宋"/>
          <w:b/>
          <w:bCs/>
          <w:kern w:val="0"/>
          <w:sz w:val="32"/>
          <w:szCs w:val="32"/>
        </w:rPr>
      </w:pPr>
      <w:r>
        <w:rPr>
          <w:rFonts w:hint="eastAsia" w:ascii="仿宋" w:hAnsi="仿宋" w:eastAsia="仿宋" w:cs="仿宋"/>
          <w:kern w:val="0"/>
          <w:sz w:val="32"/>
          <w:szCs w:val="32"/>
        </w:rPr>
        <w:t>　</w:t>
      </w:r>
    </w:p>
    <w:p>
      <w:pPr>
        <w:keepNext w:val="0"/>
        <w:keepLines w:val="0"/>
        <w:pageBreakBefore w:val="0"/>
        <w:kinsoku/>
        <w:wordWrap/>
        <w:overflowPunct/>
        <w:topLinePunct w:val="0"/>
        <w:bidi w:val="0"/>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wordWrap/>
        <w:overflowPunct/>
        <w:topLinePunct w:val="0"/>
        <w:bidi w:val="0"/>
        <w:snapToGrid/>
        <w:spacing w:line="560" w:lineRule="exact"/>
        <w:ind w:firstLine="640"/>
        <w:textAlignment w:val="auto"/>
        <w:rPr>
          <w:rFonts w:hint="eastAsia" w:ascii="仿宋" w:hAnsi="仿宋" w:eastAsia="仿宋" w:cs="仿宋"/>
          <w:sz w:val="32"/>
          <w:szCs w:val="32"/>
        </w:rPr>
      </w:pPr>
    </w:p>
    <w:p>
      <w:pPr>
        <w:keepNext w:val="0"/>
        <w:keepLines w:val="0"/>
        <w:pageBreakBefore w:val="0"/>
        <w:kinsoku/>
        <w:wordWrap/>
        <w:overflowPunct/>
        <w:topLinePunct w:val="0"/>
        <w:bidi w:val="0"/>
        <w:snapToGrid/>
        <w:spacing w:line="560" w:lineRule="exact"/>
        <w:ind w:firstLine="640"/>
        <w:textAlignment w:val="auto"/>
        <w:rPr>
          <w:rFonts w:hint="eastAsia" w:ascii="仿宋" w:hAnsi="仿宋" w:eastAsia="仿宋" w:cs="仿宋"/>
          <w:sz w:val="32"/>
          <w:szCs w:val="32"/>
        </w:rPr>
      </w:pPr>
    </w:p>
    <w:p>
      <w:pPr>
        <w:keepNext w:val="0"/>
        <w:keepLines w:val="0"/>
        <w:pageBreakBefore w:val="0"/>
        <w:kinsoku/>
        <w:wordWrap/>
        <w:overflowPunct/>
        <w:topLinePunct w:val="0"/>
        <w:bidi w:val="0"/>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wordWrap/>
        <w:overflowPunct/>
        <w:topLinePunct w:val="0"/>
        <w:bidi w:val="0"/>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 xml:space="preserve">                            中国企业体育协会</w:t>
      </w:r>
    </w:p>
    <w:p>
      <w:pPr>
        <w:keepNext w:val="0"/>
        <w:keepLines w:val="0"/>
        <w:pageBreakBefore w:val="0"/>
        <w:kinsoku/>
        <w:wordWrap/>
        <w:overflowPunct/>
        <w:topLinePunct w:val="0"/>
        <w:bidi w:val="0"/>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 xml:space="preserve">                             2021年6月21日</w:t>
      </w:r>
    </w:p>
    <w:p>
      <w:pPr>
        <w:pStyle w:val="16"/>
        <w:spacing w:line="360" w:lineRule="auto"/>
        <w:ind w:left="720" w:firstLine="0" w:firstLineChars="0"/>
      </w:pPr>
    </w:p>
    <w:p>
      <w:pPr>
        <w:spacing w:line="360" w:lineRule="auto"/>
      </w:pPr>
    </w:p>
    <w:p>
      <w:pPr>
        <w:spacing w:line="360" w:lineRule="auto"/>
        <w:rPr>
          <w:rFonts w:asciiTheme="minorEastAsia" w:hAnsiTheme="minorEastAsia"/>
          <w:sz w:val="32"/>
          <w:szCs w:val="32"/>
        </w:rPr>
      </w:pPr>
    </w:p>
    <w:p>
      <w:pPr>
        <w:spacing w:line="360" w:lineRule="auto"/>
        <w:rPr>
          <w:rFonts w:asciiTheme="minorEastAsia" w:hAnsiTheme="minorEastAsia"/>
          <w:sz w:val="32"/>
          <w:szCs w:val="32"/>
        </w:rPr>
      </w:pPr>
    </w:p>
    <w:p>
      <w:pPr>
        <w:rPr>
          <w:rFonts w:hint="eastAsia" w:asciiTheme="minorEastAsia" w:hAnsiTheme="minorEastAsia" w:eastAsiaTheme="minorEastAsia"/>
          <w:sz w:val="32"/>
          <w:szCs w:val="32"/>
          <w:lang w:eastAsia="zh-CN"/>
        </w:rPr>
      </w:pPr>
      <w:r>
        <w:rPr>
          <w:rFonts w:asciiTheme="minorEastAsia" w:hAnsiTheme="minorEastAsia"/>
          <w:sz w:val="32"/>
          <w:szCs w:val="32"/>
        </w:rPr>
        <w:br w:type="page"/>
      </w:r>
      <w:r>
        <w:rPr>
          <w:rFonts w:hint="eastAsia" w:ascii="黑体" w:hAnsi="黑体" w:eastAsia="黑体" w:cs="黑体"/>
          <w:b w:val="0"/>
          <w:bCs w:val="0"/>
          <w:sz w:val="32"/>
          <w:szCs w:val="32"/>
        </w:rPr>
        <w:t>附件1</w:t>
      </w:r>
      <w:r>
        <w:rPr>
          <w:rFonts w:hint="eastAsia" w:ascii="黑体" w:hAnsi="黑体" w:eastAsia="黑体" w:cs="黑体"/>
          <w:b w:val="0"/>
          <w:bCs w:val="0"/>
          <w:sz w:val="32"/>
          <w:szCs w:val="32"/>
          <w:lang w:eastAsia="zh-CN"/>
        </w:rPr>
        <w:t>：</w:t>
      </w: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报名表</w:t>
      </w:r>
    </w:p>
    <w:tbl>
      <w:tblPr>
        <w:tblStyle w:val="12"/>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848"/>
        <w:gridCol w:w="1131"/>
        <w:gridCol w:w="1132"/>
        <w:gridCol w:w="1132"/>
        <w:gridCol w:w="1566"/>
        <w:gridCol w:w="1275"/>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61" w:type="dxa"/>
            <w:gridSpan w:val="2"/>
          </w:tcPr>
          <w:p>
            <w:pPr>
              <w:rPr>
                <w:rFonts w:ascii="华文仿宋" w:hAnsi="华文仿宋" w:eastAsia="华文仿宋" w:cs="Times New Roman"/>
                <w:b/>
                <w:kern w:val="0"/>
                <w:sz w:val="20"/>
                <w:szCs w:val="20"/>
              </w:rPr>
            </w:pPr>
            <w:r>
              <w:rPr>
                <w:rFonts w:ascii="华文仿宋" w:hAnsi="华文仿宋" w:eastAsia="华文仿宋" w:cs="Times New Roman"/>
                <w:b/>
                <w:kern w:val="0"/>
                <w:sz w:val="20"/>
                <w:szCs w:val="20"/>
              </w:rPr>
              <w:t>球队</w:t>
            </w:r>
            <w:r>
              <w:rPr>
                <w:rFonts w:hint="eastAsia" w:ascii="华文仿宋" w:hAnsi="华文仿宋" w:eastAsia="华文仿宋" w:cs="Times New Roman"/>
                <w:b/>
                <w:kern w:val="0"/>
                <w:sz w:val="20"/>
                <w:szCs w:val="20"/>
              </w:rPr>
              <w:t>所属</w:t>
            </w:r>
            <w:r>
              <w:rPr>
                <w:rFonts w:ascii="华文仿宋" w:hAnsi="华文仿宋" w:eastAsia="华文仿宋" w:cs="Times New Roman"/>
                <w:b/>
                <w:kern w:val="0"/>
                <w:sz w:val="20"/>
                <w:szCs w:val="20"/>
              </w:rPr>
              <w:t>单位</w:t>
            </w:r>
          </w:p>
        </w:tc>
        <w:tc>
          <w:tcPr>
            <w:tcW w:w="2263" w:type="dxa"/>
            <w:gridSpan w:val="2"/>
          </w:tcPr>
          <w:p>
            <w:pPr>
              <w:rPr>
                <w:rFonts w:ascii="华文仿宋" w:hAnsi="华文仿宋" w:eastAsia="华文仿宋" w:cs="Times New Roman"/>
                <w:kern w:val="0"/>
                <w:sz w:val="20"/>
                <w:szCs w:val="20"/>
              </w:rPr>
            </w:pPr>
          </w:p>
        </w:tc>
        <w:tc>
          <w:tcPr>
            <w:tcW w:w="2698" w:type="dxa"/>
            <w:gridSpan w:val="2"/>
          </w:tcPr>
          <w:p>
            <w:pPr>
              <w:rPr>
                <w:rFonts w:ascii="华文仿宋" w:hAnsi="华文仿宋" w:eastAsia="华文仿宋" w:cs="Times New Roman"/>
                <w:b/>
                <w:kern w:val="0"/>
                <w:sz w:val="20"/>
                <w:szCs w:val="20"/>
              </w:rPr>
            </w:pPr>
            <w:r>
              <w:rPr>
                <w:rFonts w:hint="eastAsia" w:ascii="华文仿宋" w:hAnsi="华文仿宋" w:eastAsia="华文仿宋" w:cs="Times New Roman"/>
                <w:b/>
                <w:kern w:val="0"/>
                <w:sz w:val="20"/>
                <w:szCs w:val="20"/>
              </w:rPr>
              <w:t>竞赛</w:t>
            </w:r>
            <w:r>
              <w:rPr>
                <w:rFonts w:ascii="华文仿宋" w:hAnsi="华文仿宋" w:eastAsia="华文仿宋" w:cs="Times New Roman"/>
                <w:b/>
                <w:kern w:val="0"/>
                <w:sz w:val="20"/>
                <w:szCs w:val="20"/>
              </w:rPr>
              <w:t>项目</w:t>
            </w:r>
          </w:p>
        </w:tc>
        <w:tc>
          <w:tcPr>
            <w:tcW w:w="2696" w:type="dxa"/>
            <w:gridSpan w:val="2"/>
          </w:tcPr>
          <w:p>
            <w:pPr>
              <w:rPr>
                <w:rFonts w:ascii="华文仿宋" w:hAnsi="华文仿宋" w:eastAsia="华文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918" w:type="dxa"/>
            <w:gridSpan w:val="8"/>
          </w:tcPr>
          <w:p>
            <w:pPr>
              <w:rPr>
                <w:rFonts w:ascii="华文仿宋" w:hAnsi="华文仿宋" w:eastAsia="华文仿宋" w:cs="Times New Roman"/>
                <w:b/>
                <w:kern w:val="0"/>
                <w:sz w:val="20"/>
                <w:szCs w:val="20"/>
              </w:rPr>
            </w:pPr>
            <w:r>
              <w:rPr>
                <w:rFonts w:ascii="华文仿宋" w:hAnsi="华文仿宋" w:eastAsia="华文仿宋" w:cs="Times New Roman"/>
                <w:b/>
                <w:kern w:val="0"/>
                <w:sz w:val="20"/>
                <w:szCs w:val="20"/>
              </w:rPr>
              <w:t>球队名称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4524" w:type="dxa"/>
            <w:gridSpan w:val="4"/>
          </w:tcPr>
          <w:p>
            <w:pPr>
              <w:rPr>
                <w:rFonts w:ascii="华文仿宋" w:hAnsi="华文仿宋" w:eastAsia="华文仿宋" w:cs="Times New Roman"/>
                <w:b/>
                <w:kern w:val="0"/>
                <w:sz w:val="20"/>
                <w:szCs w:val="20"/>
              </w:rPr>
            </w:pPr>
            <w:r>
              <w:rPr>
                <w:rFonts w:hint="eastAsia" w:ascii="华文仿宋" w:hAnsi="华文仿宋" w:eastAsia="华文仿宋" w:cs="Times New Roman"/>
                <w:b/>
                <w:kern w:val="0"/>
                <w:sz w:val="20"/>
                <w:szCs w:val="20"/>
              </w:rPr>
              <w:t>深色</w:t>
            </w:r>
            <w:r>
              <w:rPr>
                <w:rFonts w:ascii="华文仿宋" w:hAnsi="华文仿宋" w:eastAsia="华文仿宋" w:cs="Times New Roman"/>
                <w:b/>
                <w:kern w:val="0"/>
                <w:sz w:val="20"/>
                <w:szCs w:val="20"/>
              </w:rPr>
              <w:t>队服颜色</w:t>
            </w:r>
          </w:p>
          <w:p>
            <w:pPr>
              <w:rPr>
                <w:rFonts w:ascii="华文仿宋" w:hAnsi="华文仿宋" w:eastAsia="华文仿宋" w:cs="Times New Roman"/>
                <w:b/>
                <w:kern w:val="0"/>
                <w:sz w:val="20"/>
                <w:szCs w:val="20"/>
              </w:rPr>
            </w:pPr>
          </w:p>
        </w:tc>
        <w:tc>
          <w:tcPr>
            <w:tcW w:w="5394" w:type="dxa"/>
            <w:gridSpan w:val="4"/>
          </w:tcPr>
          <w:p>
            <w:pPr>
              <w:rPr>
                <w:rFonts w:ascii="华文仿宋" w:hAnsi="华文仿宋" w:eastAsia="华文仿宋" w:cs="Times New Roman"/>
                <w:b/>
                <w:kern w:val="0"/>
                <w:sz w:val="20"/>
                <w:szCs w:val="20"/>
              </w:rPr>
            </w:pPr>
            <w:r>
              <w:rPr>
                <w:rFonts w:ascii="华文仿宋" w:hAnsi="华文仿宋" w:eastAsia="华文仿宋" w:cs="Times New Roman"/>
                <w:b/>
                <w:kern w:val="0"/>
                <w:sz w:val="20"/>
                <w:szCs w:val="20"/>
              </w:rPr>
              <w:t>浅色队服颜色</w:t>
            </w:r>
          </w:p>
          <w:p>
            <w:pPr>
              <w:rPr>
                <w:rFonts w:ascii="华文仿宋" w:hAnsi="华文仿宋" w:eastAsia="华文仿宋" w:cs="Times New Roman"/>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918" w:type="dxa"/>
            <w:gridSpan w:val="8"/>
          </w:tcPr>
          <w:p>
            <w:pPr>
              <w:rPr>
                <w:rFonts w:ascii="华文仿宋" w:hAnsi="华文仿宋" w:eastAsia="华文仿宋" w:cs="Times New Roman"/>
                <w:b/>
                <w:kern w:val="0"/>
                <w:sz w:val="20"/>
                <w:szCs w:val="20"/>
              </w:rPr>
            </w:pPr>
            <w:r>
              <w:rPr>
                <w:rFonts w:hint="eastAsia" w:ascii="华文仿宋" w:hAnsi="华文仿宋" w:eastAsia="华文仿宋" w:cs="Times New Roman"/>
                <w:b/>
                <w:kern w:val="0"/>
                <w:sz w:val="20"/>
                <w:szCs w:val="20"/>
              </w:rPr>
              <w:t>领队</w:t>
            </w:r>
            <w:r>
              <w:rPr>
                <w:rFonts w:ascii="华文仿宋" w:hAnsi="华文仿宋" w:eastAsia="华文仿宋" w:cs="Times New Roman"/>
                <w:b/>
                <w:kern w:val="0"/>
                <w:sz w:val="20"/>
                <w:szCs w:val="20"/>
              </w:rPr>
              <w:t>报名信息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13" w:type="dxa"/>
          </w:tcPr>
          <w:p>
            <w:pPr>
              <w:jc w:val="center"/>
              <w:rPr>
                <w:rFonts w:ascii="华文仿宋" w:hAnsi="华文仿宋" w:eastAsia="华文仿宋" w:cs="Times New Roman"/>
                <w:b/>
                <w:kern w:val="0"/>
                <w:sz w:val="20"/>
                <w:szCs w:val="20"/>
              </w:rPr>
            </w:pPr>
            <w:r>
              <w:rPr>
                <w:rFonts w:ascii="华文仿宋" w:hAnsi="华文仿宋" w:eastAsia="华文仿宋" w:cs="Times New Roman"/>
                <w:b/>
                <w:kern w:val="0"/>
                <w:sz w:val="20"/>
                <w:szCs w:val="20"/>
              </w:rPr>
              <w:t>姓名</w:t>
            </w:r>
          </w:p>
        </w:tc>
        <w:tc>
          <w:tcPr>
            <w:tcW w:w="3111" w:type="dxa"/>
            <w:gridSpan w:val="3"/>
          </w:tcPr>
          <w:p>
            <w:pPr>
              <w:jc w:val="center"/>
              <w:rPr>
                <w:rFonts w:ascii="华文仿宋" w:hAnsi="华文仿宋" w:eastAsia="华文仿宋" w:cs="Times New Roman"/>
                <w:b/>
                <w:kern w:val="0"/>
                <w:sz w:val="20"/>
                <w:szCs w:val="20"/>
              </w:rPr>
            </w:pPr>
            <w:r>
              <w:rPr>
                <w:rFonts w:hint="eastAsia" w:ascii="华文仿宋" w:hAnsi="华文仿宋" w:eastAsia="华文仿宋" w:cs="Times New Roman"/>
                <w:b/>
                <w:kern w:val="0"/>
                <w:sz w:val="20"/>
                <w:szCs w:val="20"/>
              </w:rPr>
              <w:t>身份证</w:t>
            </w:r>
            <w:r>
              <w:rPr>
                <w:rFonts w:ascii="华文仿宋" w:hAnsi="华文仿宋" w:eastAsia="华文仿宋" w:cs="Times New Roman"/>
                <w:b/>
                <w:kern w:val="0"/>
                <w:sz w:val="20"/>
                <w:szCs w:val="20"/>
              </w:rPr>
              <w:t>号码</w:t>
            </w:r>
          </w:p>
        </w:tc>
        <w:tc>
          <w:tcPr>
            <w:tcW w:w="2698" w:type="dxa"/>
            <w:gridSpan w:val="2"/>
          </w:tcPr>
          <w:p>
            <w:pPr>
              <w:jc w:val="center"/>
              <w:rPr>
                <w:rFonts w:ascii="华文仿宋" w:hAnsi="华文仿宋" w:eastAsia="华文仿宋" w:cs="Times New Roman"/>
                <w:b/>
                <w:kern w:val="0"/>
                <w:sz w:val="20"/>
                <w:szCs w:val="20"/>
              </w:rPr>
            </w:pPr>
            <w:r>
              <w:rPr>
                <w:rFonts w:ascii="华文仿宋" w:hAnsi="华文仿宋" w:eastAsia="华文仿宋" w:cs="Times New Roman"/>
                <w:b/>
                <w:kern w:val="0"/>
                <w:sz w:val="20"/>
                <w:szCs w:val="20"/>
              </w:rPr>
              <w:t>手机号码</w:t>
            </w:r>
          </w:p>
        </w:tc>
        <w:tc>
          <w:tcPr>
            <w:tcW w:w="2696" w:type="dxa"/>
            <w:gridSpan w:val="2"/>
          </w:tcPr>
          <w:p>
            <w:pPr>
              <w:jc w:val="center"/>
              <w:rPr>
                <w:rFonts w:ascii="华文仿宋" w:hAnsi="华文仿宋" w:eastAsia="华文仿宋" w:cs="Times New Roman"/>
                <w:b/>
                <w:kern w:val="0"/>
                <w:sz w:val="20"/>
                <w:szCs w:val="20"/>
              </w:rPr>
            </w:pPr>
            <w:r>
              <w:rPr>
                <w:rFonts w:ascii="华文仿宋" w:hAnsi="华文仿宋" w:eastAsia="华文仿宋" w:cs="Times New Roman"/>
                <w:b/>
                <w:kern w:val="0"/>
                <w:sz w:val="20"/>
                <w:szCs w:val="20"/>
              </w:rPr>
              <w:t>出生日期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13" w:type="dxa"/>
          </w:tcPr>
          <w:p>
            <w:pPr>
              <w:jc w:val="center"/>
              <w:rPr>
                <w:rFonts w:ascii="华文仿宋" w:hAnsi="华文仿宋" w:eastAsia="华文仿宋" w:cs="Times New Roman"/>
                <w:kern w:val="0"/>
                <w:sz w:val="20"/>
                <w:szCs w:val="20"/>
              </w:rPr>
            </w:pPr>
          </w:p>
        </w:tc>
        <w:tc>
          <w:tcPr>
            <w:tcW w:w="3111" w:type="dxa"/>
            <w:gridSpan w:val="3"/>
          </w:tcPr>
          <w:p>
            <w:pPr>
              <w:jc w:val="center"/>
              <w:rPr>
                <w:rFonts w:ascii="华文仿宋" w:hAnsi="华文仿宋" w:eastAsia="华文仿宋" w:cs="Times New Roman"/>
                <w:kern w:val="0"/>
                <w:sz w:val="20"/>
                <w:szCs w:val="20"/>
              </w:rPr>
            </w:pPr>
          </w:p>
        </w:tc>
        <w:tc>
          <w:tcPr>
            <w:tcW w:w="2698" w:type="dxa"/>
            <w:gridSpan w:val="2"/>
          </w:tcPr>
          <w:p>
            <w:pPr>
              <w:jc w:val="center"/>
              <w:rPr>
                <w:rFonts w:ascii="华文仿宋" w:hAnsi="华文仿宋" w:eastAsia="华文仿宋" w:cs="Times New Roman"/>
                <w:kern w:val="0"/>
                <w:sz w:val="20"/>
                <w:szCs w:val="20"/>
              </w:rPr>
            </w:pPr>
          </w:p>
        </w:tc>
        <w:tc>
          <w:tcPr>
            <w:tcW w:w="2696" w:type="dxa"/>
            <w:gridSpan w:val="2"/>
          </w:tcPr>
          <w:p>
            <w:pPr>
              <w:jc w:val="center"/>
              <w:rPr>
                <w:rFonts w:ascii="华文仿宋" w:hAnsi="华文仿宋" w:eastAsia="华文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918" w:type="dxa"/>
            <w:gridSpan w:val="8"/>
          </w:tcPr>
          <w:p>
            <w:pPr>
              <w:rPr>
                <w:rFonts w:ascii="华文仿宋" w:hAnsi="华文仿宋" w:eastAsia="华文仿宋" w:cs="Times New Roman"/>
                <w:b/>
                <w:kern w:val="0"/>
                <w:sz w:val="20"/>
                <w:szCs w:val="20"/>
              </w:rPr>
            </w:pPr>
            <w:r>
              <w:rPr>
                <w:rFonts w:ascii="华文仿宋" w:hAnsi="华文仿宋" w:eastAsia="华文仿宋" w:cs="Times New Roman"/>
                <w:b/>
                <w:kern w:val="0"/>
                <w:sz w:val="20"/>
                <w:szCs w:val="20"/>
              </w:rPr>
              <w:t>教练报名信息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13" w:type="dxa"/>
          </w:tcPr>
          <w:p>
            <w:pPr>
              <w:jc w:val="center"/>
              <w:rPr>
                <w:rFonts w:ascii="华文仿宋" w:hAnsi="华文仿宋" w:eastAsia="华文仿宋" w:cs="Times New Roman"/>
                <w:b/>
                <w:kern w:val="0"/>
                <w:sz w:val="20"/>
                <w:szCs w:val="20"/>
              </w:rPr>
            </w:pPr>
            <w:r>
              <w:rPr>
                <w:rFonts w:ascii="华文仿宋" w:hAnsi="华文仿宋" w:eastAsia="华文仿宋" w:cs="Times New Roman"/>
                <w:b/>
                <w:kern w:val="0"/>
                <w:sz w:val="20"/>
                <w:szCs w:val="20"/>
              </w:rPr>
              <w:t>姓名</w:t>
            </w:r>
          </w:p>
        </w:tc>
        <w:tc>
          <w:tcPr>
            <w:tcW w:w="3111" w:type="dxa"/>
            <w:gridSpan w:val="3"/>
          </w:tcPr>
          <w:p>
            <w:pPr>
              <w:jc w:val="center"/>
              <w:rPr>
                <w:rFonts w:ascii="华文仿宋" w:hAnsi="华文仿宋" w:eastAsia="华文仿宋" w:cs="Times New Roman"/>
                <w:b/>
                <w:kern w:val="0"/>
                <w:sz w:val="20"/>
                <w:szCs w:val="20"/>
              </w:rPr>
            </w:pPr>
            <w:r>
              <w:rPr>
                <w:rFonts w:hint="eastAsia" w:ascii="华文仿宋" w:hAnsi="华文仿宋" w:eastAsia="华文仿宋" w:cs="Times New Roman"/>
                <w:b/>
                <w:kern w:val="0"/>
                <w:sz w:val="20"/>
                <w:szCs w:val="20"/>
              </w:rPr>
              <w:t>身份证</w:t>
            </w:r>
            <w:r>
              <w:rPr>
                <w:rFonts w:ascii="华文仿宋" w:hAnsi="华文仿宋" w:eastAsia="华文仿宋" w:cs="Times New Roman"/>
                <w:b/>
                <w:kern w:val="0"/>
                <w:sz w:val="20"/>
                <w:szCs w:val="20"/>
              </w:rPr>
              <w:t>号码</w:t>
            </w:r>
          </w:p>
        </w:tc>
        <w:tc>
          <w:tcPr>
            <w:tcW w:w="2698" w:type="dxa"/>
            <w:gridSpan w:val="2"/>
          </w:tcPr>
          <w:p>
            <w:pPr>
              <w:jc w:val="center"/>
              <w:rPr>
                <w:rFonts w:ascii="华文仿宋" w:hAnsi="华文仿宋" w:eastAsia="华文仿宋" w:cs="Times New Roman"/>
                <w:b/>
                <w:kern w:val="0"/>
                <w:sz w:val="20"/>
                <w:szCs w:val="20"/>
              </w:rPr>
            </w:pPr>
            <w:r>
              <w:rPr>
                <w:rFonts w:ascii="华文仿宋" w:hAnsi="华文仿宋" w:eastAsia="华文仿宋" w:cs="Times New Roman"/>
                <w:b/>
                <w:kern w:val="0"/>
                <w:sz w:val="20"/>
                <w:szCs w:val="20"/>
              </w:rPr>
              <w:t>手机号码</w:t>
            </w:r>
          </w:p>
        </w:tc>
        <w:tc>
          <w:tcPr>
            <w:tcW w:w="2696" w:type="dxa"/>
            <w:gridSpan w:val="2"/>
          </w:tcPr>
          <w:p>
            <w:pPr>
              <w:jc w:val="center"/>
              <w:rPr>
                <w:rFonts w:ascii="华文仿宋" w:hAnsi="华文仿宋" w:eastAsia="华文仿宋" w:cs="Times New Roman"/>
                <w:b/>
                <w:kern w:val="0"/>
                <w:sz w:val="20"/>
                <w:szCs w:val="20"/>
              </w:rPr>
            </w:pPr>
            <w:r>
              <w:rPr>
                <w:rFonts w:ascii="华文仿宋" w:hAnsi="华文仿宋" w:eastAsia="华文仿宋" w:cs="Times New Roman"/>
                <w:b/>
                <w:kern w:val="0"/>
                <w:sz w:val="20"/>
                <w:szCs w:val="20"/>
              </w:rPr>
              <w:t>出生日期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13" w:type="dxa"/>
          </w:tcPr>
          <w:p>
            <w:pPr>
              <w:jc w:val="center"/>
              <w:rPr>
                <w:rFonts w:ascii="华文仿宋" w:hAnsi="华文仿宋" w:eastAsia="华文仿宋" w:cs="Times New Roman"/>
                <w:b/>
                <w:kern w:val="0"/>
                <w:sz w:val="20"/>
                <w:szCs w:val="20"/>
              </w:rPr>
            </w:pPr>
          </w:p>
        </w:tc>
        <w:tc>
          <w:tcPr>
            <w:tcW w:w="3111" w:type="dxa"/>
            <w:gridSpan w:val="3"/>
          </w:tcPr>
          <w:p>
            <w:pPr>
              <w:jc w:val="center"/>
              <w:rPr>
                <w:rFonts w:hint="eastAsia" w:ascii="华文仿宋" w:hAnsi="华文仿宋" w:eastAsia="华文仿宋" w:cs="Times New Roman"/>
                <w:b/>
                <w:kern w:val="0"/>
                <w:sz w:val="20"/>
                <w:szCs w:val="20"/>
              </w:rPr>
            </w:pPr>
          </w:p>
        </w:tc>
        <w:tc>
          <w:tcPr>
            <w:tcW w:w="2698" w:type="dxa"/>
            <w:gridSpan w:val="2"/>
          </w:tcPr>
          <w:p>
            <w:pPr>
              <w:jc w:val="center"/>
              <w:rPr>
                <w:rFonts w:ascii="华文仿宋" w:hAnsi="华文仿宋" w:eastAsia="华文仿宋" w:cs="Times New Roman"/>
                <w:b/>
                <w:kern w:val="0"/>
                <w:sz w:val="20"/>
                <w:szCs w:val="20"/>
              </w:rPr>
            </w:pPr>
          </w:p>
        </w:tc>
        <w:tc>
          <w:tcPr>
            <w:tcW w:w="2696" w:type="dxa"/>
            <w:gridSpan w:val="2"/>
          </w:tcPr>
          <w:p>
            <w:pPr>
              <w:jc w:val="center"/>
              <w:rPr>
                <w:rFonts w:ascii="华文仿宋" w:hAnsi="华文仿宋" w:eastAsia="华文仿宋" w:cs="Times New Roman"/>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918" w:type="dxa"/>
            <w:gridSpan w:val="8"/>
          </w:tcPr>
          <w:p>
            <w:pPr>
              <w:jc w:val="left"/>
              <w:rPr>
                <w:rFonts w:ascii="华文仿宋" w:hAnsi="华文仿宋" w:eastAsia="华文仿宋" w:cs="Times New Roman"/>
                <w:kern w:val="0"/>
                <w:sz w:val="20"/>
                <w:szCs w:val="20"/>
              </w:rPr>
            </w:pPr>
            <w:r>
              <w:rPr>
                <w:rFonts w:hint="eastAsia" w:ascii="华文仿宋" w:hAnsi="华文仿宋" w:eastAsia="华文仿宋" w:cs="Times New Roman"/>
                <w:b/>
                <w:kern w:val="0"/>
                <w:sz w:val="20"/>
                <w:szCs w:val="20"/>
              </w:rPr>
              <w:t>队医</w:t>
            </w:r>
            <w:r>
              <w:rPr>
                <w:rFonts w:ascii="华文仿宋" w:hAnsi="华文仿宋" w:eastAsia="华文仿宋" w:cs="Times New Roman"/>
                <w:b/>
                <w:kern w:val="0"/>
                <w:sz w:val="20"/>
                <w:szCs w:val="20"/>
              </w:rPr>
              <w:t>报名信息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13" w:type="dxa"/>
          </w:tcPr>
          <w:p>
            <w:pPr>
              <w:jc w:val="center"/>
              <w:rPr>
                <w:rFonts w:ascii="华文仿宋" w:hAnsi="华文仿宋" w:eastAsia="华文仿宋" w:cs="Times New Roman"/>
                <w:kern w:val="0"/>
                <w:sz w:val="20"/>
                <w:szCs w:val="20"/>
              </w:rPr>
            </w:pPr>
            <w:r>
              <w:rPr>
                <w:rFonts w:ascii="华文仿宋" w:hAnsi="华文仿宋" w:eastAsia="华文仿宋" w:cs="Times New Roman"/>
                <w:b/>
                <w:kern w:val="0"/>
                <w:sz w:val="20"/>
                <w:szCs w:val="20"/>
              </w:rPr>
              <w:t>姓名</w:t>
            </w:r>
          </w:p>
        </w:tc>
        <w:tc>
          <w:tcPr>
            <w:tcW w:w="3111" w:type="dxa"/>
            <w:gridSpan w:val="3"/>
          </w:tcPr>
          <w:p>
            <w:pPr>
              <w:jc w:val="center"/>
              <w:rPr>
                <w:rFonts w:ascii="华文仿宋" w:hAnsi="华文仿宋" w:eastAsia="华文仿宋" w:cs="Times New Roman"/>
                <w:kern w:val="0"/>
                <w:sz w:val="20"/>
                <w:szCs w:val="20"/>
              </w:rPr>
            </w:pPr>
            <w:r>
              <w:rPr>
                <w:rFonts w:hint="eastAsia" w:ascii="华文仿宋" w:hAnsi="华文仿宋" w:eastAsia="华文仿宋" w:cs="Times New Roman"/>
                <w:b/>
                <w:kern w:val="0"/>
                <w:sz w:val="20"/>
                <w:szCs w:val="20"/>
              </w:rPr>
              <w:t>身份证</w:t>
            </w:r>
            <w:r>
              <w:rPr>
                <w:rFonts w:ascii="华文仿宋" w:hAnsi="华文仿宋" w:eastAsia="华文仿宋" w:cs="Times New Roman"/>
                <w:b/>
                <w:kern w:val="0"/>
                <w:sz w:val="20"/>
                <w:szCs w:val="20"/>
              </w:rPr>
              <w:t>号码</w:t>
            </w:r>
          </w:p>
        </w:tc>
        <w:tc>
          <w:tcPr>
            <w:tcW w:w="2698" w:type="dxa"/>
            <w:gridSpan w:val="2"/>
          </w:tcPr>
          <w:p>
            <w:pPr>
              <w:jc w:val="center"/>
              <w:rPr>
                <w:rFonts w:ascii="华文仿宋" w:hAnsi="华文仿宋" w:eastAsia="华文仿宋" w:cs="Times New Roman"/>
                <w:kern w:val="0"/>
                <w:sz w:val="20"/>
                <w:szCs w:val="20"/>
              </w:rPr>
            </w:pPr>
            <w:r>
              <w:rPr>
                <w:rFonts w:ascii="华文仿宋" w:hAnsi="华文仿宋" w:eastAsia="华文仿宋" w:cs="Times New Roman"/>
                <w:b/>
                <w:kern w:val="0"/>
                <w:sz w:val="20"/>
                <w:szCs w:val="20"/>
              </w:rPr>
              <w:t>手机号码</w:t>
            </w:r>
          </w:p>
        </w:tc>
        <w:tc>
          <w:tcPr>
            <w:tcW w:w="2696" w:type="dxa"/>
            <w:gridSpan w:val="2"/>
          </w:tcPr>
          <w:p>
            <w:pPr>
              <w:jc w:val="center"/>
              <w:rPr>
                <w:rFonts w:ascii="华文仿宋" w:hAnsi="华文仿宋" w:eastAsia="华文仿宋" w:cs="Times New Roman"/>
                <w:kern w:val="0"/>
                <w:sz w:val="20"/>
                <w:szCs w:val="20"/>
              </w:rPr>
            </w:pPr>
            <w:r>
              <w:rPr>
                <w:rFonts w:ascii="华文仿宋" w:hAnsi="华文仿宋" w:eastAsia="华文仿宋" w:cs="Times New Roman"/>
                <w:b/>
                <w:kern w:val="0"/>
                <w:sz w:val="20"/>
                <w:szCs w:val="20"/>
              </w:rPr>
              <w:t>出生日期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13" w:type="dxa"/>
          </w:tcPr>
          <w:p>
            <w:pPr>
              <w:jc w:val="center"/>
              <w:rPr>
                <w:rFonts w:ascii="华文仿宋" w:hAnsi="华文仿宋" w:eastAsia="华文仿宋" w:cs="Times New Roman"/>
                <w:kern w:val="0"/>
                <w:sz w:val="20"/>
                <w:szCs w:val="20"/>
              </w:rPr>
            </w:pPr>
          </w:p>
        </w:tc>
        <w:tc>
          <w:tcPr>
            <w:tcW w:w="3111" w:type="dxa"/>
            <w:gridSpan w:val="3"/>
          </w:tcPr>
          <w:p>
            <w:pPr>
              <w:jc w:val="center"/>
              <w:rPr>
                <w:rFonts w:ascii="华文仿宋" w:hAnsi="华文仿宋" w:eastAsia="华文仿宋" w:cs="Times New Roman"/>
                <w:kern w:val="0"/>
                <w:sz w:val="20"/>
                <w:szCs w:val="20"/>
              </w:rPr>
            </w:pPr>
          </w:p>
        </w:tc>
        <w:tc>
          <w:tcPr>
            <w:tcW w:w="2698" w:type="dxa"/>
            <w:gridSpan w:val="2"/>
          </w:tcPr>
          <w:p>
            <w:pPr>
              <w:jc w:val="center"/>
              <w:rPr>
                <w:rFonts w:ascii="华文仿宋" w:hAnsi="华文仿宋" w:eastAsia="华文仿宋" w:cs="Times New Roman"/>
                <w:kern w:val="0"/>
                <w:sz w:val="20"/>
                <w:szCs w:val="20"/>
              </w:rPr>
            </w:pPr>
          </w:p>
        </w:tc>
        <w:tc>
          <w:tcPr>
            <w:tcW w:w="2696" w:type="dxa"/>
            <w:gridSpan w:val="2"/>
          </w:tcPr>
          <w:p>
            <w:pPr>
              <w:jc w:val="center"/>
              <w:rPr>
                <w:rFonts w:ascii="华文仿宋" w:hAnsi="华文仿宋" w:eastAsia="华文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918" w:type="dxa"/>
            <w:gridSpan w:val="8"/>
          </w:tcPr>
          <w:p>
            <w:pPr>
              <w:rPr>
                <w:rFonts w:ascii="华文仿宋" w:hAnsi="华文仿宋" w:eastAsia="华文仿宋" w:cs="Times New Roman"/>
                <w:b/>
                <w:kern w:val="0"/>
                <w:sz w:val="20"/>
                <w:szCs w:val="20"/>
              </w:rPr>
            </w:pPr>
            <w:r>
              <w:rPr>
                <w:rFonts w:ascii="华文仿宋" w:hAnsi="华文仿宋" w:eastAsia="华文仿宋" w:cs="Times New Roman"/>
                <w:b/>
                <w:kern w:val="0"/>
                <w:sz w:val="20"/>
                <w:szCs w:val="20"/>
              </w:rPr>
              <w:t>运动员报名信息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13" w:type="dxa"/>
          </w:tcPr>
          <w:p>
            <w:pPr>
              <w:jc w:val="center"/>
              <w:rPr>
                <w:rFonts w:ascii="华文仿宋" w:hAnsi="华文仿宋" w:eastAsia="华文仿宋" w:cs="Times New Roman"/>
                <w:b/>
                <w:kern w:val="0"/>
                <w:sz w:val="20"/>
                <w:szCs w:val="20"/>
              </w:rPr>
            </w:pPr>
            <w:r>
              <w:rPr>
                <w:rFonts w:hint="eastAsia" w:ascii="华文仿宋" w:hAnsi="华文仿宋" w:eastAsia="华文仿宋" w:cs="Times New Roman"/>
                <w:b/>
                <w:kern w:val="0"/>
                <w:sz w:val="20"/>
                <w:szCs w:val="20"/>
              </w:rPr>
              <w:t>姓名</w:t>
            </w:r>
          </w:p>
        </w:tc>
        <w:tc>
          <w:tcPr>
            <w:tcW w:w="1979" w:type="dxa"/>
            <w:gridSpan w:val="2"/>
          </w:tcPr>
          <w:p>
            <w:pPr>
              <w:jc w:val="center"/>
              <w:rPr>
                <w:rFonts w:ascii="华文仿宋" w:hAnsi="华文仿宋" w:eastAsia="华文仿宋" w:cs="Times New Roman"/>
                <w:b/>
                <w:kern w:val="0"/>
                <w:sz w:val="20"/>
                <w:szCs w:val="20"/>
              </w:rPr>
            </w:pPr>
            <w:r>
              <w:rPr>
                <w:rFonts w:ascii="华文仿宋" w:hAnsi="华文仿宋" w:eastAsia="华文仿宋" w:cs="Times New Roman"/>
                <w:b/>
                <w:kern w:val="0"/>
                <w:sz w:val="20"/>
                <w:szCs w:val="20"/>
              </w:rPr>
              <w:t>身份证号码</w:t>
            </w:r>
          </w:p>
        </w:tc>
        <w:tc>
          <w:tcPr>
            <w:tcW w:w="2264" w:type="dxa"/>
            <w:gridSpan w:val="2"/>
          </w:tcPr>
          <w:p>
            <w:pPr>
              <w:jc w:val="center"/>
              <w:rPr>
                <w:rFonts w:ascii="华文仿宋" w:hAnsi="华文仿宋" w:eastAsia="华文仿宋" w:cs="Times New Roman"/>
                <w:b/>
                <w:kern w:val="0"/>
                <w:sz w:val="20"/>
                <w:szCs w:val="20"/>
              </w:rPr>
            </w:pPr>
            <w:r>
              <w:rPr>
                <w:rFonts w:ascii="华文仿宋" w:hAnsi="华文仿宋" w:eastAsia="华文仿宋" w:cs="Times New Roman"/>
                <w:b/>
                <w:kern w:val="0"/>
                <w:sz w:val="20"/>
                <w:szCs w:val="20"/>
              </w:rPr>
              <w:t>手机号码</w:t>
            </w:r>
          </w:p>
        </w:tc>
        <w:tc>
          <w:tcPr>
            <w:tcW w:w="1566" w:type="dxa"/>
          </w:tcPr>
          <w:p>
            <w:pPr>
              <w:jc w:val="center"/>
              <w:rPr>
                <w:rFonts w:ascii="华文仿宋" w:hAnsi="华文仿宋" w:eastAsia="华文仿宋" w:cs="Times New Roman"/>
                <w:b/>
                <w:kern w:val="0"/>
                <w:sz w:val="20"/>
                <w:szCs w:val="20"/>
              </w:rPr>
            </w:pPr>
            <w:r>
              <w:rPr>
                <w:rFonts w:ascii="华文仿宋" w:hAnsi="华文仿宋" w:eastAsia="华文仿宋" w:cs="Times New Roman"/>
                <w:b/>
                <w:kern w:val="0"/>
                <w:sz w:val="20"/>
                <w:szCs w:val="20"/>
              </w:rPr>
              <w:t>出生日期</w:t>
            </w:r>
          </w:p>
        </w:tc>
        <w:tc>
          <w:tcPr>
            <w:tcW w:w="1275" w:type="dxa"/>
          </w:tcPr>
          <w:p>
            <w:pPr>
              <w:jc w:val="center"/>
              <w:rPr>
                <w:rFonts w:ascii="华文仿宋" w:hAnsi="华文仿宋" w:eastAsia="华文仿宋" w:cs="Times New Roman"/>
                <w:b/>
                <w:kern w:val="0"/>
                <w:sz w:val="20"/>
                <w:szCs w:val="20"/>
              </w:rPr>
            </w:pPr>
            <w:r>
              <w:rPr>
                <w:rFonts w:ascii="华文仿宋" w:hAnsi="华文仿宋" w:eastAsia="华文仿宋" w:cs="Times New Roman"/>
                <w:b/>
                <w:kern w:val="0"/>
                <w:sz w:val="20"/>
                <w:szCs w:val="20"/>
              </w:rPr>
              <w:t>球衣号码</w:t>
            </w:r>
          </w:p>
        </w:tc>
        <w:tc>
          <w:tcPr>
            <w:tcW w:w="1421" w:type="dxa"/>
          </w:tcPr>
          <w:p>
            <w:pPr>
              <w:jc w:val="center"/>
              <w:rPr>
                <w:rFonts w:ascii="华文仿宋" w:hAnsi="华文仿宋" w:eastAsia="华文仿宋" w:cs="Times New Roman"/>
                <w:b/>
                <w:kern w:val="0"/>
                <w:sz w:val="20"/>
                <w:szCs w:val="20"/>
              </w:rPr>
            </w:pPr>
            <w:r>
              <w:rPr>
                <w:rFonts w:ascii="华文仿宋" w:hAnsi="华文仿宋" w:eastAsia="华文仿宋" w:cs="Times New Roman"/>
                <w:b/>
                <w:kern w:val="0"/>
                <w:sz w:val="20"/>
                <w:szCs w:val="20"/>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13" w:type="dxa"/>
          </w:tcPr>
          <w:p>
            <w:pPr>
              <w:jc w:val="center"/>
              <w:rPr>
                <w:rFonts w:ascii="华文仿宋" w:hAnsi="华文仿宋" w:eastAsia="华文仿宋" w:cs="Times New Roman"/>
                <w:kern w:val="0"/>
                <w:sz w:val="20"/>
                <w:szCs w:val="20"/>
              </w:rPr>
            </w:pPr>
          </w:p>
        </w:tc>
        <w:tc>
          <w:tcPr>
            <w:tcW w:w="1979" w:type="dxa"/>
            <w:gridSpan w:val="2"/>
          </w:tcPr>
          <w:p>
            <w:pPr>
              <w:jc w:val="center"/>
              <w:rPr>
                <w:rFonts w:ascii="华文仿宋" w:hAnsi="华文仿宋" w:eastAsia="华文仿宋" w:cs="Times New Roman"/>
                <w:kern w:val="0"/>
                <w:sz w:val="20"/>
                <w:szCs w:val="20"/>
              </w:rPr>
            </w:pPr>
          </w:p>
        </w:tc>
        <w:tc>
          <w:tcPr>
            <w:tcW w:w="2264" w:type="dxa"/>
            <w:gridSpan w:val="2"/>
          </w:tcPr>
          <w:p>
            <w:pPr>
              <w:jc w:val="center"/>
              <w:rPr>
                <w:rFonts w:ascii="华文仿宋" w:hAnsi="华文仿宋" w:eastAsia="华文仿宋" w:cs="Times New Roman"/>
                <w:kern w:val="0"/>
                <w:sz w:val="20"/>
                <w:szCs w:val="20"/>
              </w:rPr>
            </w:pPr>
          </w:p>
        </w:tc>
        <w:tc>
          <w:tcPr>
            <w:tcW w:w="1566" w:type="dxa"/>
          </w:tcPr>
          <w:p>
            <w:pPr>
              <w:jc w:val="center"/>
              <w:rPr>
                <w:rFonts w:ascii="华文仿宋" w:hAnsi="华文仿宋" w:eastAsia="华文仿宋" w:cs="Times New Roman"/>
                <w:kern w:val="0"/>
                <w:sz w:val="20"/>
                <w:szCs w:val="20"/>
              </w:rPr>
            </w:pPr>
          </w:p>
        </w:tc>
        <w:tc>
          <w:tcPr>
            <w:tcW w:w="1275" w:type="dxa"/>
          </w:tcPr>
          <w:p>
            <w:pPr>
              <w:jc w:val="center"/>
              <w:rPr>
                <w:rFonts w:ascii="华文仿宋" w:hAnsi="华文仿宋" w:eastAsia="华文仿宋" w:cs="Times New Roman"/>
                <w:kern w:val="0"/>
                <w:sz w:val="20"/>
                <w:szCs w:val="20"/>
              </w:rPr>
            </w:pPr>
          </w:p>
        </w:tc>
        <w:tc>
          <w:tcPr>
            <w:tcW w:w="1421" w:type="dxa"/>
          </w:tcPr>
          <w:p>
            <w:pPr>
              <w:jc w:val="center"/>
              <w:rPr>
                <w:rFonts w:ascii="华文仿宋" w:hAnsi="华文仿宋" w:eastAsia="华文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13" w:type="dxa"/>
          </w:tcPr>
          <w:p>
            <w:pPr>
              <w:jc w:val="center"/>
              <w:rPr>
                <w:rFonts w:ascii="华文仿宋" w:hAnsi="华文仿宋" w:eastAsia="华文仿宋" w:cs="Times New Roman"/>
                <w:kern w:val="0"/>
                <w:sz w:val="20"/>
                <w:szCs w:val="20"/>
              </w:rPr>
            </w:pPr>
          </w:p>
        </w:tc>
        <w:tc>
          <w:tcPr>
            <w:tcW w:w="1979" w:type="dxa"/>
            <w:gridSpan w:val="2"/>
          </w:tcPr>
          <w:p>
            <w:pPr>
              <w:jc w:val="center"/>
              <w:rPr>
                <w:rFonts w:ascii="华文仿宋" w:hAnsi="华文仿宋" w:eastAsia="华文仿宋" w:cs="Times New Roman"/>
                <w:kern w:val="0"/>
                <w:sz w:val="20"/>
                <w:szCs w:val="20"/>
              </w:rPr>
            </w:pPr>
          </w:p>
        </w:tc>
        <w:tc>
          <w:tcPr>
            <w:tcW w:w="2264" w:type="dxa"/>
            <w:gridSpan w:val="2"/>
          </w:tcPr>
          <w:p>
            <w:pPr>
              <w:jc w:val="center"/>
              <w:rPr>
                <w:rFonts w:ascii="华文仿宋" w:hAnsi="华文仿宋" w:eastAsia="华文仿宋" w:cs="Times New Roman"/>
                <w:kern w:val="0"/>
                <w:sz w:val="20"/>
                <w:szCs w:val="20"/>
              </w:rPr>
            </w:pPr>
          </w:p>
        </w:tc>
        <w:tc>
          <w:tcPr>
            <w:tcW w:w="1566" w:type="dxa"/>
          </w:tcPr>
          <w:p>
            <w:pPr>
              <w:jc w:val="center"/>
              <w:rPr>
                <w:rFonts w:ascii="华文仿宋" w:hAnsi="华文仿宋" w:eastAsia="华文仿宋" w:cs="Times New Roman"/>
                <w:kern w:val="0"/>
                <w:sz w:val="20"/>
                <w:szCs w:val="20"/>
              </w:rPr>
            </w:pPr>
          </w:p>
        </w:tc>
        <w:tc>
          <w:tcPr>
            <w:tcW w:w="1275" w:type="dxa"/>
          </w:tcPr>
          <w:p>
            <w:pPr>
              <w:jc w:val="center"/>
              <w:rPr>
                <w:rFonts w:ascii="华文仿宋" w:hAnsi="华文仿宋" w:eastAsia="华文仿宋" w:cs="Times New Roman"/>
                <w:kern w:val="0"/>
                <w:sz w:val="20"/>
                <w:szCs w:val="20"/>
              </w:rPr>
            </w:pPr>
          </w:p>
        </w:tc>
        <w:tc>
          <w:tcPr>
            <w:tcW w:w="1421" w:type="dxa"/>
          </w:tcPr>
          <w:p>
            <w:pPr>
              <w:jc w:val="center"/>
              <w:rPr>
                <w:rFonts w:ascii="华文仿宋" w:hAnsi="华文仿宋" w:eastAsia="华文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13" w:type="dxa"/>
          </w:tcPr>
          <w:p>
            <w:pPr>
              <w:jc w:val="center"/>
              <w:rPr>
                <w:rFonts w:ascii="华文仿宋" w:hAnsi="华文仿宋" w:eastAsia="华文仿宋" w:cs="Times New Roman"/>
                <w:kern w:val="0"/>
                <w:sz w:val="20"/>
                <w:szCs w:val="20"/>
              </w:rPr>
            </w:pPr>
          </w:p>
        </w:tc>
        <w:tc>
          <w:tcPr>
            <w:tcW w:w="1979" w:type="dxa"/>
            <w:gridSpan w:val="2"/>
          </w:tcPr>
          <w:p>
            <w:pPr>
              <w:jc w:val="center"/>
              <w:rPr>
                <w:rFonts w:ascii="华文仿宋" w:hAnsi="华文仿宋" w:eastAsia="华文仿宋" w:cs="Times New Roman"/>
                <w:kern w:val="0"/>
                <w:sz w:val="20"/>
                <w:szCs w:val="20"/>
              </w:rPr>
            </w:pPr>
          </w:p>
        </w:tc>
        <w:tc>
          <w:tcPr>
            <w:tcW w:w="2264" w:type="dxa"/>
            <w:gridSpan w:val="2"/>
          </w:tcPr>
          <w:p>
            <w:pPr>
              <w:jc w:val="center"/>
              <w:rPr>
                <w:rFonts w:ascii="华文仿宋" w:hAnsi="华文仿宋" w:eastAsia="华文仿宋" w:cs="Times New Roman"/>
                <w:kern w:val="0"/>
                <w:sz w:val="20"/>
                <w:szCs w:val="20"/>
              </w:rPr>
            </w:pPr>
          </w:p>
        </w:tc>
        <w:tc>
          <w:tcPr>
            <w:tcW w:w="1566" w:type="dxa"/>
          </w:tcPr>
          <w:p>
            <w:pPr>
              <w:jc w:val="center"/>
              <w:rPr>
                <w:rFonts w:ascii="华文仿宋" w:hAnsi="华文仿宋" w:eastAsia="华文仿宋" w:cs="Times New Roman"/>
                <w:kern w:val="0"/>
                <w:sz w:val="20"/>
                <w:szCs w:val="20"/>
              </w:rPr>
            </w:pPr>
          </w:p>
        </w:tc>
        <w:tc>
          <w:tcPr>
            <w:tcW w:w="1275" w:type="dxa"/>
          </w:tcPr>
          <w:p>
            <w:pPr>
              <w:jc w:val="center"/>
              <w:rPr>
                <w:rFonts w:ascii="华文仿宋" w:hAnsi="华文仿宋" w:eastAsia="华文仿宋" w:cs="Times New Roman"/>
                <w:kern w:val="0"/>
                <w:sz w:val="20"/>
                <w:szCs w:val="20"/>
              </w:rPr>
            </w:pPr>
          </w:p>
        </w:tc>
        <w:tc>
          <w:tcPr>
            <w:tcW w:w="1421" w:type="dxa"/>
          </w:tcPr>
          <w:p>
            <w:pPr>
              <w:jc w:val="center"/>
              <w:rPr>
                <w:rFonts w:ascii="华文仿宋" w:hAnsi="华文仿宋" w:eastAsia="华文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13" w:type="dxa"/>
          </w:tcPr>
          <w:p>
            <w:pPr>
              <w:jc w:val="center"/>
              <w:rPr>
                <w:rFonts w:ascii="华文仿宋" w:hAnsi="华文仿宋" w:eastAsia="华文仿宋" w:cs="Times New Roman"/>
                <w:kern w:val="0"/>
                <w:sz w:val="20"/>
                <w:szCs w:val="20"/>
              </w:rPr>
            </w:pPr>
          </w:p>
        </w:tc>
        <w:tc>
          <w:tcPr>
            <w:tcW w:w="1979" w:type="dxa"/>
            <w:gridSpan w:val="2"/>
          </w:tcPr>
          <w:p>
            <w:pPr>
              <w:jc w:val="center"/>
              <w:rPr>
                <w:rFonts w:ascii="华文仿宋" w:hAnsi="华文仿宋" w:eastAsia="华文仿宋" w:cs="Times New Roman"/>
                <w:kern w:val="0"/>
                <w:sz w:val="20"/>
                <w:szCs w:val="20"/>
              </w:rPr>
            </w:pPr>
          </w:p>
        </w:tc>
        <w:tc>
          <w:tcPr>
            <w:tcW w:w="2264" w:type="dxa"/>
            <w:gridSpan w:val="2"/>
          </w:tcPr>
          <w:p>
            <w:pPr>
              <w:jc w:val="center"/>
              <w:rPr>
                <w:rFonts w:ascii="华文仿宋" w:hAnsi="华文仿宋" w:eastAsia="华文仿宋" w:cs="Times New Roman"/>
                <w:kern w:val="0"/>
                <w:sz w:val="20"/>
                <w:szCs w:val="20"/>
              </w:rPr>
            </w:pPr>
          </w:p>
        </w:tc>
        <w:tc>
          <w:tcPr>
            <w:tcW w:w="1566" w:type="dxa"/>
          </w:tcPr>
          <w:p>
            <w:pPr>
              <w:jc w:val="center"/>
              <w:rPr>
                <w:rFonts w:ascii="华文仿宋" w:hAnsi="华文仿宋" w:eastAsia="华文仿宋" w:cs="Times New Roman"/>
                <w:kern w:val="0"/>
                <w:sz w:val="20"/>
                <w:szCs w:val="20"/>
              </w:rPr>
            </w:pPr>
          </w:p>
        </w:tc>
        <w:tc>
          <w:tcPr>
            <w:tcW w:w="1275" w:type="dxa"/>
          </w:tcPr>
          <w:p>
            <w:pPr>
              <w:jc w:val="center"/>
              <w:rPr>
                <w:rFonts w:ascii="华文仿宋" w:hAnsi="华文仿宋" w:eastAsia="华文仿宋" w:cs="Times New Roman"/>
                <w:kern w:val="0"/>
                <w:sz w:val="20"/>
                <w:szCs w:val="20"/>
              </w:rPr>
            </w:pPr>
          </w:p>
        </w:tc>
        <w:tc>
          <w:tcPr>
            <w:tcW w:w="1421" w:type="dxa"/>
          </w:tcPr>
          <w:p>
            <w:pPr>
              <w:jc w:val="center"/>
              <w:rPr>
                <w:rFonts w:ascii="华文仿宋" w:hAnsi="华文仿宋" w:eastAsia="华文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13" w:type="dxa"/>
          </w:tcPr>
          <w:p>
            <w:pPr>
              <w:jc w:val="center"/>
              <w:rPr>
                <w:rFonts w:ascii="华文仿宋" w:hAnsi="华文仿宋" w:eastAsia="华文仿宋" w:cs="Times New Roman"/>
                <w:kern w:val="0"/>
                <w:sz w:val="20"/>
                <w:szCs w:val="20"/>
              </w:rPr>
            </w:pPr>
          </w:p>
        </w:tc>
        <w:tc>
          <w:tcPr>
            <w:tcW w:w="1979" w:type="dxa"/>
            <w:gridSpan w:val="2"/>
          </w:tcPr>
          <w:p>
            <w:pPr>
              <w:jc w:val="center"/>
              <w:rPr>
                <w:rFonts w:ascii="华文仿宋" w:hAnsi="华文仿宋" w:eastAsia="华文仿宋" w:cs="Times New Roman"/>
                <w:kern w:val="0"/>
                <w:sz w:val="20"/>
                <w:szCs w:val="20"/>
              </w:rPr>
            </w:pPr>
          </w:p>
        </w:tc>
        <w:tc>
          <w:tcPr>
            <w:tcW w:w="2264" w:type="dxa"/>
            <w:gridSpan w:val="2"/>
          </w:tcPr>
          <w:p>
            <w:pPr>
              <w:jc w:val="center"/>
              <w:rPr>
                <w:rFonts w:ascii="华文仿宋" w:hAnsi="华文仿宋" w:eastAsia="华文仿宋" w:cs="Times New Roman"/>
                <w:kern w:val="0"/>
                <w:sz w:val="20"/>
                <w:szCs w:val="20"/>
              </w:rPr>
            </w:pPr>
          </w:p>
        </w:tc>
        <w:tc>
          <w:tcPr>
            <w:tcW w:w="1566" w:type="dxa"/>
          </w:tcPr>
          <w:p>
            <w:pPr>
              <w:jc w:val="center"/>
              <w:rPr>
                <w:rFonts w:ascii="华文仿宋" w:hAnsi="华文仿宋" w:eastAsia="华文仿宋" w:cs="Times New Roman"/>
                <w:kern w:val="0"/>
                <w:sz w:val="20"/>
                <w:szCs w:val="20"/>
              </w:rPr>
            </w:pPr>
          </w:p>
        </w:tc>
        <w:tc>
          <w:tcPr>
            <w:tcW w:w="1275" w:type="dxa"/>
          </w:tcPr>
          <w:p>
            <w:pPr>
              <w:jc w:val="center"/>
              <w:rPr>
                <w:rFonts w:ascii="华文仿宋" w:hAnsi="华文仿宋" w:eastAsia="华文仿宋" w:cs="Times New Roman"/>
                <w:kern w:val="0"/>
                <w:sz w:val="20"/>
                <w:szCs w:val="20"/>
              </w:rPr>
            </w:pPr>
          </w:p>
        </w:tc>
        <w:tc>
          <w:tcPr>
            <w:tcW w:w="1421" w:type="dxa"/>
          </w:tcPr>
          <w:p>
            <w:pPr>
              <w:jc w:val="center"/>
              <w:rPr>
                <w:rFonts w:ascii="华文仿宋" w:hAnsi="华文仿宋" w:eastAsia="华文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13" w:type="dxa"/>
          </w:tcPr>
          <w:p>
            <w:pPr>
              <w:jc w:val="center"/>
              <w:rPr>
                <w:rFonts w:ascii="华文仿宋" w:hAnsi="华文仿宋" w:eastAsia="华文仿宋" w:cs="Times New Roman"/>
                <w:kern w:val="0"/>
                <w:sz w:val="20"/>
                <w:szCs w:val="20"/>
              </w:rPr>
            </w:pPr>
          </w:p>
        </w:tc>
        <w:tc>
          <w:tcPr>
            <w:tcW w:w="1979" w:type="dxa"/>
            <w:gridSpan w:val="2"/>
          </w:tcPr>
          <w:p>
            <w:pPr>
              <w:jc w:val="center"/>
              <w:rPr>
                <w:rFonts w:ascii="华文仿宋" w:hAnsi="华文仿宋" w:eastAsia="华文仿宋" w:cs="Times New Roman"/>
                <w:kern w:val="0"/>
                <w:sz w:val="20"/>
                <w:szCs w:val="20"/>
              </w:rPr>
            </w:pPr>
          </w:p>
        </w:tc>
        <w:tc>
          <w:tcPr>
            <w:tcW w:w="2264" w:type="dxa"/>
            <w:gridSpan w:val="2"/>
          </w:tcPr>
          <w:p>
            <w:pPr>
              <w:jc w:val="center"/>
              <w:rPr>
                <w:rFonts w:ascii="华文仿宋" w:hAnsi="华文仿宋" w:eastAsia="华文仿宋" w:cs="Times New Roman"/>
                <w:kern w:val="0"/>
                <w:sz w:val="20"/>
                <w:szCs w:val="20"/>
              </w:rPr>
            </w:pPr>
          </w:p>
        </w:tc>
        <w:tc>
          <w:tcPr>
            <w:tcW w:w="1566" w:type="dxa"/>
          </w:tcPr>
          <w:p>
            <w:pPr>
              <w:jc w:val="center"/>
              <w:rPr>
                <w:rFonts w:ascii="华文仿宋" w:hAnsi="华文仿宋" w:eastAsia="华文仿宋" w:cs="Times New Roman"/>
                <w:kern w:val="0"/>
                <w:sz w:val="20"/>
                <w:szCs w:val="20"/>
              </w:rPr>
            </w:pPr>
          </w:p>
        </w:tc>
        <w:tc>
          <w:tcPr>
            <w:tcW w:w="1275" w:type="dxa"/>
          </w:tcPr>
          <w:p>
            <w:pPr>
              <w:jc w:val="center"/>
              <w:rPr>
                <w:rFonts w:ascii="华文仿宋" w:hAnsi="华文仿宋" w:eastAsia="华文仿宋" w:cs="Times New Roman"/>
                <w:kern w:val="0"/>
                <w:sz w:val="20"/>
                <w:szCs w:val="20"/>
              </w:rPr>
            </w:pPr>
          </w:p>
        </w:tc>
        <w:tc>
          <w:tcPr>
            <w:tcW w:w="1421" w:type="dxa"/>
          </w:tcPr>
          <w:p>
            <w:pPr>
              <w:jc w:val="center"/>
              <w:rPr>
                <w:rFonts w:ascii="华文仿宋" w:hAnsi="华文仿宋" w:eastAsia="华文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13" w:type="dxa"/>
          </w:tcPr>
          <w:p>
            <w:pPr>
              <w:jc w:val="center"/>
              <w:rPr>
                <w:rFonts w:ascii="华文仿宋" w:hAnsi="华文仿宋" w:eastAsia="华文仿宋" w:cs="Times New Roman"/>
                <w:kern w:val="0"/>
                <w:sz w:val="20"/>
                <w:szCs w:val="20"/>
              </w:rPr>
            </w:pPr>
          </w:p>
        </w:tc>
        <w:tc>
          <w:tcPr>
            <w:tcW w:w="1979" w:type="dxa"/>
            <w:gridSpan w:val="2"/>
          </w:tcPr>
          <w:p>
            <w:pPr>
              <w:jc w:val="center"/>
              <w:rPr>
                <w:rFonts w:ascii="华文仿宋" w:hAnsi="华文仿宋" w:eastAsia="华文仿宋" w:cs="Times New Roman"/>
                <w:kern w:val="0"/>
                <w:sz w:val="20"/>
                <w:szCs w:val="20"/>
              </w:rPr>
            </w:pPr>
          </w:p>
        </w:tc>
        <w:tc>
          <w:tcPr>
            <w:tcW w:w="2264" w:type="dxa"/>
            <w:gridSpan w:val="2"/>
          </w:tcPr>
          <w:p>
            <w:pPr>
              <w:jc w:val="center"/>
              <w:rPr>
                <w:rFonts w:ascii="华文仿宋" w:hAnsi="华文仿宋" w:eastAsia="华文仿宋" w:cs="Times New Roman"/>
                <w:kern w:val="0"/>
                <w:sz w:val="20"/>
                <w:szCs w:val="20"/>
              </w:rPr>
            </w:pPr>
          </w:p>
        </w:tc>
        <w:tc>
          <w:tcPr>
            <w:tcW w:w="1566" w:type="dxa"/>
          </w:tcPr>
          <w:p>
            <w:pPr>
              <w:jc w:val="center"/>
              <w:rPr>
                <w:rFonts w:ascii="华文仿宋" w:hAnsi="华文仿宋" w:eastAsia="华文仿宋" w:cs="Times New Roman"/>
                <w:kern w:val="0"/>
                <w:sz w:val="20"/>
                <w:szCs w:val="20"/>
              </w:rPr>
            </w:pPr>
          </w:p>
        </w:tc>
        <w:tc>
          <w:tcPr>
            <w:tcW w:w="1275" w:type="dxa"/>
          </w:tcPr>
          <w:p>
            <w:pPr>
              <w:jc w:val="center"/>
              <w:rPr>
                <w:rFonts w:ascii="华文仿宋" w:hAnsi="华文仿宋" w:eastAsia="华文仿宋" w:cs="Times New Roman"/>
                <w:kern w:val="0"/>
                <w:sz w:val="20"/>
                <w:szCs w:val="20"/>
              </w:rPr>
            </w:pPr>
          </w:p>
        </w:tc>
        <w:tc>
          <w:tcPr>
            <w:tcW w:w="1421" w:type="dxa"/>
          </w:tcPr>
          <w:p>
            <w:pPr>
              <w:jc w:val="center"/>
              <w:rPr>
                <w:rFonts w:ascii="华文仿宋" w:hAnsi="华文仿宋" w:eastAsia="华文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13" w:type="dxa"/>
          </w:tcPr>
          <w:p>
            <w:pPr>
              <w:jc w:val="center"/>
              <w:rPr>
                <w:rFonts w:ascii="华文仿宋" w:hAnsi="华文仿宋" w:eastAsia="华文仿宋" w:cs="Times New Roman"/>
                <w:kern w:val="0"/>
                <w:sz w:val="20"/>
                <w:szCs w:val="20"/>
              </w:rPr>
            </w:pPr>
          </w:p>
        </w:tc>
        <w:tc>
          <w:tcPr>
            <w:tcW w:w="1979" w:type="dxa"/>
            <w:gridSpan w:val="2"/>
          </w:tcPr>
          <w:p>
            <w:pPr>
              <w:jc w:val="center"/>
              <w:rPr>
                <w:rFonts w:ascii="华文仿宋" w:hAnsi="华文仿宋" w:eastAsia="华文仿宋" w:cs="Times New Roman"/>
                <w:kern w:val="0"/>
                <w:sz w:val="20"/>
                <w:szCs w:val="20"/>
              </w:rPr>
            </w:pPr>
          </w:p>
        </w:tc>
        <w:tc>
          <w:tcPr>
            <w:tcW w:w="2264" w:type="dxa"/>
            <w:gridSpan w:val="2"/>
          </w:tcPr>
          <w:p>
            <w:pPr>
              <w:jc w:val="center"/>
              <w:rPr>
                <w:rFonts w:ascii="华文仿宋" w:hAnsi="华文仿宋" w:eastAsia="华文仿宋" w:cs="Times New Roman"/>
                <w:kern w:val="0"/>
                <w:sz w:val="20"/>
                <w:szCs w:val="20"/>
              </w:rPr>
            </w:pPr>
          </w:p>
        </w:tc>
        <w:tc>
          <w:tcPr>
            <w:tcW w:w="1566" w:type="dxa"/>
          </w:tcPr>
          <w:p>
            <w:pPr>
              <w:jc w:val="center"/>
              <w:rPr>
                <w:rFonts w:ascii="华文仿宋" w:hAnsi="华文仿宋" w:eastAsia="华文仿宋" w:cs="Times New Roman"/>
                <w:kern w:val="0"/>
                <w:sz w:val="20"/>
                <w:szCs w:val="20"/>
              </w:rPr>
            </w:pPr>
          </w:p>
        </w:tc>
        <w:tc>
          <w:tcPr>
            <w:tcW w:w="1275" w:type="dxa"/>
          </w:tcPr>
          <w:p>
            <w:pPr>
              <w:jc w:val="center"/>
              <w:rPr>
                <w:rFonts w:ascii="华文仿宋" w:hAnsi="华文仿宋" w:eastAsia="华文仿宋" w:cs="Times New Roman"/>
                <w:kern w:val="0"/>
                <w:sz w:val="20"/>
                <w:szCs w:val="20"/>
              </w:rPr>
            </w:pPr>
          </w:p>
        </w:tc>
        <w:tc>
          <w:tcPr>
            <w:tcW w:w="1421" w:type="dxa"/>
          </w:tcPr>
          <w:p>
            <w:pPr>
              <w:jc w:val="center"/>
              <w:rPr>
                <w:rFonts w:ascii="华文仿宋" w:hAnsi="华文仿宋" w:eastAsia="华文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13" w:type="dxa"/>
          </w:tcPr>
          <w:p>
            <w:pPr>
              <w:jc w:val="center"/>
              <w:rPr>
                <w:rFonts w:ascii="华文仿宋" w:hAnsi="华文仿宋" w:eastAsia="华文仿宋" w:cs="Times New Roman"/>
                <w:kern w:val="0"/>
                <w:sz w:val="20"/>
                <w:szCs w:val="20"/>
              </w:rPr>
            </w:pPr>
          </w:p>
        </w:tc>
        <w:tc>
          <w:tcPr>
            <w:tcW w:w="1979" w:type="dxa"/>
            <w:gridSpan w:val="2"/>
          </w:tcPr>
          <w:p>
            <w:pPr>
              <w:jc w:val="center"/>
              <w:rPr>
                <w:rFonts w:ascii="华文仿宋" w:hAnsi="华文仿宋" w:eastAsia="华文仿宋" w:cs="Times New Roman"/>
                <w:kern w:val="0"/>
                <w:sz w:val="20"/>
                <w:szCs w:val="20"/>
              </w:rPr>
            </w:pPr>
          </w:p>
        </w:tc>
        <w:tc>
          <w:tcPr>
            <w:tcW w:w="2264" w:type="dxa"/>
            <w:gridSpan w:val="2"/>
          </w:tcPr>
          <w:p>
            <w:pPr>
              <w:jc w:val="center"/>
              <w:rPr>
                <w:rFonts w:ascii="华文仿宋" w:hAnsi="华文仿宋" w:eastAsia="华文仿宋" w:cs="Times New Roman"/>
                <w:kern w:val="0"/>
                <w:sz w:val="20"/>
                <w:szCs w:val="20"/>
              </w:rPr>
            </w:pPr>
          </w:p>
        </w:tc>
        <w:tc>
          <w:tcPr>
            <w:tcW w:w="1566" w:type="dxa"/>
          </w:tcPr>
          <w:p>
            <w:pPr>
              <w:jc w:val="center"/>
              <w:rPr>
                <w:rFonts w:ascii="华文仿宋" w:hAnsi="华文仿宋" w:eastAsia="华文仿宋" w:cs="Times New Roman"/>
                <w:kern w:val="0"/>
                <w:sz w:val="20"/>
                <w:szCs w:val="20"/>
              </w:rPr>
            </w:pPr>
          </w:p>
        </w:tc>
        <w:tc>
          <w:tcPr>
            <w:tcW w:w="1275" w:type="dxa"/>
          </w:tcPr>
          <w:p>
            <w:pPr>
              <w:jc w:val="center"/>
              <w:rPr>
                <w:rFonts w:ascii="华文仿宋" w:hAnsi="华文仿宋" w:eastAsia="华文仿宋" w:cs="Times New Roman"/>
                <w:kern w:val="0"/>
                <w:sz w:val="20"/>
                <w:szCs w:val="20"/>
              </w:rPr>
            </w:pPr>
          </w:p>
        </w:tc>
        <w:tc>
          <w:tcPr>
            <w:tcW w:w="1421" w:type="dxa"/>
          </w:tcPr>
          <w:p>
            <w:pPr>
              <w:jc w:val="center"/>
              <w:rPr>
                <w:rFonts w:ascii="华文仿宋" w:hAnsi="华文仿宋" w:eastAsia="华文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13" w:type="dxa"/>
          </w:tcPr>
          <w:p>
            <w:pPr>
              <w:jc w:val="center"/>
              <w:rPr>
                <w:rFonts w:ascii="华文仿宋" w:hAnsi="华文仿宋" w:eastAsia="华文仿宋" w:cs="Times New Roman"/>
                <w:kern w:val="0"/>
                <w:sz w:val="20"/>
                <w:szCs w:val="20"/>
              </w:rPr>
            </w:pPr>
          </w:p>
        </w:tc>
        <w:tc>
          <w:tcPr>
            <w:tcW w:w="1979" w:type="dxa"/>
            <w:gridSpan w:val="2"/>
          </w:tcPr>
          <w:p>
            <w:pPr>
              <w:jc w:val="center"/>
              <w:rPr>
                <w:rFonts w:ascii="华文仿宋" w:hAnsi="华文仿宋" w:eastAsia="华文仿宋" w:cs="Times New Roman"/>
                <w:kern w:val="0"/>
                <w:sz w:val="20"/>
                <w:szCs w:val="20"/>
              </w:rPr>
            </w:pPr>
          </w:p>
        </w:tc>
        <w:tc>
          <w:tcPr>
            <w:tcW w:w="2264" w:type="dxa"/>
            <w:gridSpan w:val="2"/>
          </w:tcPr>
          <w:p>
            <w:pPr>
              <w:jc w:val="center"/>
              <w:rPr>
                <w:rFonts w:ascii="华文仿宋" w:hAnsi="华文仿宋" w:eastAsia="华文仿宋" w:cs="Times New Roman"/>
                <w:kern w:val="0"/>
                <w:sz w:val="20"/>
                <w:szCs w:val="20"/>
              </w:rPr>
            </w:pPr>
          </w:p>
        </w:tc>
        <w:tc>
          <w:tcPr>
            <w:tcW w:w="1566" w:type="dxa"/>
          </w:tcPr>
          <w:p>
            <w:pPr>
              <w:jc w:val="center"/>
              <w:rPr>
                <w:rFonts w:ascii="华文仿宋" w:hAnsi="华文仿宋" w:eastAsia="华文仿宋" w:cs="Times New Roman"/>
                <w:kern w:val="0"/>
                <w:sz w:val="20"/>
                <w:szCs w:val="20"/>
              </w:rPr>
            </w:pPr>
          </w:p>
        </w:tc>
        <w:tc>
          <w:tcPr>
            <w:tcW w:w="1275" w:type="dxa"/>
          </w:tcPr>
          <w:p>
            <w:pPr>
              <w:jc w:val="center"/>
              <w:rPr>
                <w:rFonts w:ascii="华文仿宋" w:hAnsi="华文仿宋" w:eastAsia="华文仿宋" w:cs="Times New Roman"/>
                <w:kern w:val="0"/>
                <w:sz w:val="20"/>
                <w:szCs w:val="20"/>
              </w:rPr>
            </w:pPr>
          </w:p>
        </w:tc>
        <w:tc>
          <w:tcPr>
            <w:tcW w:w="1421" w:type="dxa"/>
          </w:tcPr>
          <w:p>
            <w:pPr>
              <w:jc w:val="center"/>
              <w:rPr>
                <w:rFonts w:ascii="华文仿宋" w:hAnsi="华文仿宋" w:eastAsia="华文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13" w:type="dxa"/>
          </w:tcPr>
          <w:p>
            <w:pPr>
              <w:jc w:val="center"/>
              <w:rPr>
                <w:rFonts w:ascii="华文仿宋" w:hAnsi="华文仿宋" w:eastAsia="华文仿宋" w:cs="Times New Roman"/>
                <w:kern w:val="0"/>
                <w:sz w:val="20"/>
                <w:szCs w:val="20"/>
              </w:rPr>
            </w:pPr>
          </w:p>
        </w:tc>
        <w:tc>
          <w:tcPr>
            <w:tcW w:w="1979" w:type="dxa"/>
            <w:gridSpan w:val="2"/>
          </w:tcPr>
          <w:p>
            <w:pPr>
              <w:jc w:val="center"/>
              <w:rPr>
                <w:rFonts w:ascii="华文仿宋" w:hAnsi="华文仿宋" w:eastAsia="华文仿宋" w:cs="Times New Roman"/>
                <w:kern w:val="0"/>
                <w:sz w:val="20"/>
                <w:szCs w:val="20"/>
              </w:rPr>
            </w:pPr>
          </w:p>
        </w:tc>
        <w:tc>
          <w:tcPr>
            <w:tcW w:w="2264" w:type="dxa"/>
            <w:gridSpan w:val="2"/>
          </w:tcPr>
          <w:p>
            <w:pPr>
              <w:jc w:val="center"/>
              <w:rPr>
                <w:rFonts w:ascii="华文仿宋" w:hAnsi="华文仿宋" w:eastAsia="华文仿宋" w:cs="Times New Roman"/>
                <w:kern w:val="0"/>
                <w:sz w:val="20"/>
                <w:szCs w:val="20"/>
              </w:rPr>
            </w:pPr>
          </w:p>
        </w:tc>
        <w:tc>
          <w:tcPr>
            <w:tcW w:w="1566" w:type="dxa"/>
          </w:tcPr>
          <w:p>
            <w:pPr>
              <w:jc w:val="center"/>
              <w:rPr>
                <w:rFonts w:ascii="华文仿宋" w:hAnsi="华文仿宋" w:eastAsia="华文仿宋" w:cs="Times New Roman"/>
                <w:kern w:val="0"/>
                <w:sz w:val="20"/>
                <w:szCs w:val="20"/>
              </w:rPr>
            </w:pPr>
          </w:p>
        </w:tc>
        <w:tc>
          <w:tcPr>
            <w:tcW w:w="1275" w:type="dxa"/>
          </w:tcPr>
          <w:p>
            <w:pPr>
              <w:jc w:val="center"/>
              <w:rPr>
                <w:rFonts w:ascii="华文仿宋" w:hAnsi="华文仿宋" w:eastAsia="华文仿宋" w:cs="Times New Roman"/>
                <w:kern w:val="0"/>
                <w:sz w:val="20"/>
                <w:szCs w:val="20"/>
              </w:rPr>
            </w:pPr>
          </w:p>
        </w:tc>
        <w:tc>
          <w:tcPr>
            <w:tcW w:w="1421" w:type="dxa"/>
          </w:tcPr>
          <w:p>
            <w:pPr>
              <w:jc w:val="center"/>
              <w:rPr>
                <w:rFonts w:ascii="华文仿宋" w:hAnsi="华文仿宋" w:eastAsia="华文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18" w:type="dxa"/>
            <w:gridSpan w:val="8"/>
          </w:tcPr>
          <w:p>
            <w:pPr>
              <w:jc w:val="left"/>
              <w:rPr>
                <w:rFonts w:ascii="华文仿宋" w:hAnsi="华文仿宋" w:eastAsia="华文仿宋" w:cs="Times New Roman"/>
                <w:b/>
                <w:kern w:val="0"/>
                <w:sz w:val="20"/>
                <w:szCs w:val="20"/>
              </w:rPr>
            </w:pPr>
            <w:r>
              <w:rPr>
                <w:rFonts w:ascii="华文仿宋" w:hAnsi="华文仿宋" w:eastAsia="华文仿宋" w:cs="Times New Roman"/>
                <w:b/>
                <w:kern w:val="0"/>
                <w:sz w:val="20"/>
                <w:szCs w:val="20"/>
              </w:rPr>
              <w:t>参加</w:t>
            </w:r>
            <w:r>
              <w:rPr>
                <w:rFonts w:hint="eastAsia" w:ascii="华文仿宋" w:hAnsi="华文仿宋" w:eastAsia="华文仿宋" w:cs="Times New Roman"/>
                <w:b/>
                <w:kern w:val="0"/>
                <w:sz w:val="20"/>
                <w:szCs w:val="20"/>
              </w:rPr>
              <w:t>营商与考察活动</w:t>
            </w:r>
            <w:r>
              <w:rPr>
                <w:rFonts w:ascii="华文仿宋" w:hAnsi="华文仿宋" w:eastAsia="华文仿宋" w:cs="Times New Roman"/>
                <w:b/>
                <w:kern w:val="0"/>
                <w:sz w:val="20"/>
                <w:szCs w:val="20"/>
              </w:rPr>
              <w:t>人员报名信息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13" w:type="dxa"/>
          </w:tcPr>
          <w:p>
            <w:pPr>
              <w:jc w:val="center"/>
              <w:rPr>
                <w:rFonts w:ascii="华文仿宋" w:hAnsi="华文仿宋" w:eastAsia="华文仿宋" w:cs="Times New Roman"/>
                <w:b/>
                <w:kern w:val="0"/>
                <w:sz w:val="20"/>
                <w:szCs w:val="20"/>
              </w:rPr>
            </w:pPr>
            <w:r>
              <w:rPr>
                <w:rFonts w:hint="eastAsia" w:ascii="华文仿宋" w:hAnsi="华文仿宋" w:eastAsia="华文仿宋" w:cs="Times New Roman"/>
                <w:b/>
                <w:kern w:val="0"/>
                <w:sz w:val="20"/>
                <w:szCs w:val="20"/>
              </w:rPr>
              <w:t>姓名</w:t>
            </w:r>
          </w:p>
        </w:tc>
        <w:tc>
          <w:tcPr>
            <w:tcW w:w="1979" w:type="dxa"/>
            <w:gridSpan w:val="2"/>
          </w:tcPr>
          <w:p>
            <w:pPr>
              <w:jc w:val="center"/>
              <w:rPr>
                <w:rFonts w:ascii="华文仿宋" w:hAnsi="华文仿宋" w:eastAsia="华文仿宋" w:cs="Times New Roman"/>
                <w:b/>
                <w:kern w:val="0"/>
                <w:sz w:val="20"/>
                <w:szCs w:val="20"/>
              </w:rPr>
            </w:pPr>
            <w:r>
              <w:rPr>
                <w:rFonts w:hint="eastAsia" w:ascii="华文仿宋" w:hAnsi="华文仿宋" w:eastAsia="华文仿宋" w:cs="Times New Roman"/>
                <w:b/>
                <w:kern w:val="0"/>
                <w:sz w:val="20"/>
                <w:szCs w:val="20"/>
              </w:rPr>
              <w:t>性别</w:t>
            </w:r>
          </w:p>
        </w:tc>
        <w:tc>
          <w:tcPr>
            <w:tcW w:w="2264" w:type="dxa"/>
            <w:gridSpan w:val="2"/>
          </w:tcPr>
          <w:p>
            <w:pPr>
              <w:jc w:val="center"/>
              <w:rPr>
                <w:rFonts w:ascii="华文仿宋" w:hAnsi="华文仿宋" w:eastAsia="华文仿宋" w:cs="Times New Roman"/>
                <w:b/>
                <w:kern w:val="0"/>
                <w:sz w:val="20"/>
                <w:szCs w:val="20"/>
              </w:rPr>
            </w:pPr>
            <w:r>
              <w:rPr>
                <w:rFonts w:hint="eastAsia" w:ascii="华文仿宋" w:hAnsi="华文仿宋" w:eastAsia="华文仿宋" w:cs="Times New Roman"/>
                <w:b/>
                <w:kern w:val="0"/>
                <w:sz w:val="20"/>
                <w:szCs w:val="20"/>
              </w:rPr>
              <w:t>手机号码</w:t>
            </w:r>
          </w:p>
        </w:tc>
        <w:tc>
          <w:tcPr>
            <w:tcW w:w="4262" w:type="dxa"/>
            <w:gridSpan w:val="3"/>
          </w:tcPr>
          <w:p>
            <w:pPr>
              <w:jc w:val="center"/>
              <w:rPr>
                <w:rFonts w:ascii="华文仿宋" w:hAnsi="华文仿宋" w:eastAsia="华文仿宋" w:cs="Times New Roman"/>
                <w:b/>
                <w:kern w:val="0"/>
                <w:sz w:val="20"/>
                <w:szCs w:val="20"/>
              </w:rPr>
            </w:pPr>
            <w:r>
              <w:rPr>
                <w:rFonts w:hint="eastAsia" w:ascii="华文仿宋" w:hAnsi="华文仿宋" w:eastAsia="华文仿宋" w:cs="Times New Roman"/>
                <w:b/>
                <w:kern w:val="0"/>
                <w:sz w:val="20"/>
                <w:szCs w:val="20"/>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13" w:type="dxa"/>
          </w:tcPr>
          <w:p>
            <w:pPr>
              <w:jc w:val="center"/>
              <w:rPr>
                <w:rFonts w:ascii="华文仿宋" w:hAnsi="华文仿宋" w:eastAsia="华文仿宋" w:cs="Times New Roman"/>
                <w:kern w:val="0"/>
                <w:sz w:val="20"/>
                <w:szCs w:val="20"/>
              </w:rPr>
            </w:pPr>
          </w:p>
        </w:tc>
        <w:tc>
          <w:tcPr>
            <w:tcW w:w="1979" w:type="dxa"/>
            <w:gridSpan w:val="2"/>
          </w:tcPr>
          <w:p>
            <w:pPr>
              <w:jc w:val="center"/>
              <w:rPr>
                <w:rFonts w:ascii="华文仿宋" w:hAnsi="华文仿宋" w:eastAsia="华文仿宋" w:cs="Times New Roman"/>
                <w:kern w:val="0"/>
                <w:sz w:val="20"/>
                <w:szCs w:val="20"/>
              </w:rPr>
            </w:pPr>
          </w:p>
        </w:tc>
        <w:tc>
          <w:tcPr>
            <w:tcW w:w="2264" w:type="dxa"/>
            <w:gridSpan w:val="2"/>
          </w:tcPr>
          <w:p>
            <w:pPr>
              <w:jc w:val="center"/>
              <w:rPr>
                <w:rFonts w:ascii="华文仿宋" w:hAnsi="华文仿宋" w:eastAsia="华文仿宋" w:cs="Times New Roman"/>
                <w:kern w:val="0"/>
                <w:sz w:val="20"/>
                <w:szCs w:val="20"/>
              </w:rPr>
            </w:pPr>
          </w:p>
        </w:tc>
        <w:tc>
          <w:tcPr>
            <w:tcW w:w="4262" w:type="dxa"/>
            <w:gridSpan w:val="3"/>
          </w:tcPr>
          <w:p>
            <w:pPr>
              <w:jc w:val="center"/>
              <w:rPr>
                <w:rFonts w:ascii="华文仿宋" w:hAnsi="华文仿宋" w:eastAsia="华文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13" w:type="dxa"/>
          </w:tcPr>
          <w:p>
            <w:pPr>
              <w:jc w:val="center"/>
              <w:rPr>
                <w:rFonts w:ascii="华文仿宋" w:hAnsi="华文仿宋" w:eastAsia="华文仿宋" w:cs="Times New Roman"/>
                <w:kern w:val="0"/>
                <w:sz w:val="20"/>
                <w:szCs w:val="20"/>
              </w:rPr>
            </w:pPr>
          </w:p>
        </w:tc>
        <w:tc>
          <w:tcPr>
            <w:tcW w:w="1979" w:type="dxa"/>
            <w:gridSpan w:val="2"/>
          </w:tcPr>
          <w:p>
            <w:pPr>
              <w:jc w:val="center"/>
              <w:rPr>
                <w:rFonts w:ascii="华文仿宋" w:hAnsi="华文仿宋" w:eastAsia="华文仿宋" w:cs="Times New Roman"/>
                <w:kern w:val="0"/>
                <w:sz w:val="20"/>
                <w:szCs w:val="20"/>
              </w:rPr>
            </w:pPr>
          </w:p>
        </w:tc>
        <w:tc>
          <w:tcPr>
            <w:tcW w:w="2264" w:type="dxa"/>
            <w:gridSpan w:val="2"/>
          </w:tcPr>
          <w:p>
            <w:pPr>
              <w:jc w:val="center"/>
              <w:rPr>
                <w:rFonts w:ascii="华文仿宋" w:hAnsi="华文仿宋" w:eastAsia="华文仿宋" w:cs="Times New Roman"/>
                <w:kern w:val="0"/>
                <w:sz w:val="20"/>
                <w:szCs w:val="20"/>
              </w:rPr>
            </w:pPr>
          </w:p>
        </w:tc>
        <w:tc>
          <w:tcPr>
            <w:tcW w:w="4262" w:type="dxa"/>
            <w:gridSpan w:val="3"/>
          </w:tcPr>
          <w:p>
            <w:pPr>
              <w:jc w:val="center"/>
              <w:rPr>
                <w:rFonts w:ascii="华文仿宋" w:hAnsi="华文仿宋" w:eastAsia="华文仿宋" w:cs="Times New Roman"/>
                <w:kern w:val="0"/>
                <w:sz w:val="20"/>
                <w:szCs w:val="20"/>
              </w:rPr>
            </w:pPr>
          </w:p>
        </w:tc>
      </w:tr>
    </w:tbl>
    <w:p>
      <w:pPr>
        <w:ind w:firstLine="4480" w:firstLineChars="1400"/>
        <w:jc w:val="both"/>
        <w:rPr>
          <w:rFonts w:hint="eastAsia" w:ascii="华文仿宋" w:hAnsi="华文仿宋" w:eastAsia="华文仿宋"/>
          <w:sz w:val="32"/>
          <w:szCs w:val="32"/>
        </w:rPr>
      </w:pPr>
    </w:p>
    <w:p>
      <w:pPr>
        <w:ind w:firstLine="4480" w:firstLineChars="1400"/>
        <w:jc w:val="both"/>
        <w:rPr>
          <w:rFonts w:ascii="华文仿宋" w:hAnsi="华文仿宋" w:eastAsia="华文仿宋"/>
          <w:sz w:val="32"/>
          <w:szCs w:val="32"/>
        </w:rPr>
      </w:pPr>
      <w:r>
        <w:rPr>
          <w:rFonts w:hint="eastAsia" w:ascii="华文仿宋" w:hAnsi="华文仿宋" w:eastAsia="华文仿宋"/>
          <w:sz w:val="32"/>
          <w:szCs w:val="32"/>
        </w:rPr>
        <w:t>球队</w:t>
      </w:r>
      <w:r>
        <w:rPr>
          <w:rFonts w:ascii="华文仿宋" w:hAnsi="华文仿宋" w:eastAsia="华文仿宋"/>
          <w:sz w:val="32"/>
          <w:szCs w:val="32"/>
        </w:rPr>
        <w:t>单位盖章或负责</w:t>
      </w:r>
      <w:r>
        <w:rPr>
          <w:rFonts w:hint="eastAsia" w:ascii="华文仿宋" w:hAnsi="华文仿宋" w:eastAsia="华文仿宋"/>
          <w:sz w:val="32"/>
          <w:szCs w:val="32"/>
        </w:rPr>
        <w:t>人</w:t>
      </w:r>
      <w:r>
        <w:rPr>
          <w:rFonts w:ascii="华文仿宋" w:hAnsi="华文仿宋" w:eastAsia="华文仿宋"/>
          <w:sz w:val="32"/>
          <w:szCs w:val="32"/>
        </w:rPr>
        <w:t xml:space="preserve">签名          </w:t>
      </w:r>
    </w:p>
    <w:p>
      <w:pPr>
        <w:rPr>
          <w:rFonts w:hint="eastAsia" w:ascii="黑体" w:hAnsi="黑体" w:eastAsia="黑体" w:cs="黑体"/>
          <w:b w:val="0"/>
          <w:bCs w:val="0"/>
          <w:sz w:val="32"/>
          <w:szCs w:val="32"/>
        </w:rPr>
      </w:pPr>
      <w:r>
        <w:rPr>
          <w:rFonts w:hint="eastAsia" w:ascii="黑体" w:hAnsi="黑体" w:eastAsia="黑体" w:cs="黑体"/>
          <w:b w:val="0"/>
          <w:bCs w:val="0"/>
          <w:sz w:val="32"/>
          <w:szCs w:val="32"/>
        </w:rPr>
        <w:br w:type="page"/>
      </w:r>
    </w:p>
    <w:p>
      <w:pPr>
        <w:spacing w:line="360" w:lineRule="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附件2</w:t>
      </w:r>
      <w:r>
        <w:rPr>
          <w:rFonts w:hint="eastAsia" w:ascii="黑体" w:hAnsi="黑体" w:eastAsia="黑体" w:cs="黑体"/>
          <w:b w:val="0"/>
          <w:bCs w:val="0"/>
          <w:sz w:val="32"/>
          <w:szCs w:val="32"/>
          <w:lang w:eastAsia="zh-CN"/>
        </w:rPr>
        <w:t>：</w:t>
      </w:r>
    </w:p>
    <w:p>
      <w:pPr>
        <w:spacing w:line="360" w:lineRule="auto"/>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免责承诺书</w:t>
      </w:r>
    </w:p>
    <w:p>
      <w:pPr>
        <w:keepNext w:val="0"/>
        <w:keepLines w:val="0"/>
        <w:pageBreakBefore w:val="0"/>
        <w:kinsoku/>
        <w:wordWrap/>
        <w:overflowPunct/>
        <w:topLinePunct w:val="0"/>
        <w:bidi w:val="0"/>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球队名称：                    </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主办方已经明确告知、且本人清楚地知晓：篮球比赛是一种具有高度危险及激烈对抗的竞技性体育运动，即便赛事组委会已经采取周到的安全措施，篮球比赛仍有可能发生意外伤害及损失，并且该运动不适于身体状况不佳之人；本人参赛行为属于自甘冒险行为。经慎重考虑，本人自愿参加，并作出如下承诺： </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本人自愿参加“全国职工健康促进工程·健康运动”2021年第十届全国/行业企业职工男子篮球赛。</w:t>
      </w:r>
    </w:p>
    <w:p>
      <w:pPr>
        <w:keepNext w:val="0"/>
        <w:keepLines w:val="0"/>
        <w:pageBreakBefore w:val="0"/>
        <w:widowControl/>
        <w:numPr>
          <w:ilvl w:val="0"/>
          <w:numId w:val="1"/>
        </w:numPr>
        <w:kinsoku/>
        <w:wordWrap/>
        <w:overflowPunct/>
        <w:topLinePunct w:val="0"/>
        <w:autoSpaceDE w:val="0"/>
        <w:autoSpaceDN w:val="0"/>
        <w:bidi w:val="0"/>
        <w:adjustRightInd w:val="0"/>
        <w:snapToGrid/>
        <w:spacing w:line="56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本人身体健康，具有完全民事行为能力，适合参加比赛，凡因本人隐瞒实际情况（病史、身体状况等）所造成的一切后果均由本人自行承担。</w:t>
      </w:r>
    </w:p>
    <w:p>
      <w:pPr>
        <w:keepNext w:val="0"/>
        <w:keepLines w:val="0"/>
        <w:pageBreakBefore w:val="0"/>
        <w:widowControl/>
        <w:kinsoku/>
        <w:wordWrap/>
        <w:overflowPunct/>
        <w:topLinePunct w:val="0"/>
        <w:autoSpaceDE w:val="0"/>
        <w:autoSpaceDN w:val="0"/>
        <w:bidi w:val="0"/>
        <w:adjustRightInd w:val="0"/>
        <w:snapToGrid/>
        <w:spacing w:line="56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二、比赛期间，本人将完全服从组委会安排、自觉遵守竞赛规则、尊重裁判判罚，并自愿承担因本人擅自行动所造成的一切后果。</w:t>
      </w:r>
    </w:p>
    <w:p>
      <w:pPr>
        <w:keepNext w:val="0"/>
        <w:keepLines w:val="0"/>
        <w:pageBreakBefore w:val="0"/>
        <w:widowControl/>
        <w:kinsoku/>
        <w:wordWrap/>
        <w:overflowPunct/>
        <w:topLinePunct w:val="0"/>
        <w:autoSpaceDE w:val="0"/>
        <w:autoSpaceDN w:val="0"/>
        <w:bidi w:val="0"/>
        <w:adjustRightInd w:val="0"/>
        <w:snapToGrid/>
        <w:spacing w:line="56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三、参赛期间如遇身体不适状况，本人将及时停止有关活动，并积极寻求治疗。</w:t>
      </w:r>
    </w:p>
    <w:p>
      <w:pPr>
        <w:keepNext w:val="0"/>
        <w:keepLines w:val="0"/>
        <w:pageBreakBefore w:val="0"/>
        <w:widowControl/>
        <w:kinsoku/>
        <w:wordWrap/>
        <w:overflowPunct/>
        <w:topLinePunct w:val="0"/>
        <w:autoSpaceDE w:val="0"/>
        <w:autoSpaceDN w:val="0"/>
        <w:bidi w:val="0"/>
        <w:adjustRightInd w:val="0"/>
        <w:snapToGrid/>
        <w:spacing w:line="56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四、本人已知悉并同意：由组委会统一为各参赛单位参加“全国职工健康促进工程·健康运动”</w:t>
      </w:r>
      <w:r>
        <w:rPr>
          <w:rFonts w:hint="eastAsia" w:ascii="仿宋" w:hAnsi="仿宋" w:eastAsia="仿宋" w:cs="仿宋"/>
          <w:sz w:val="32"/>
          <w:szCs w:val="32"/>
        </w:rPr>
        <w:t>2021年第十届全国行业/企业职工男子篮球赛</w:t>
      </w:r>
      <w:r>
        <w:rPr>
          <w:rFonts w:hint="eastAsia" w:ascii="仿宋" w:hAnsi="仿宋" w:eastAsia="仿宋" w:cs="仿宋"/>
          <w:kern w:val="0"/>
          <w:sz w:val="32"/>
          <w:szCs w:val="32"/>
        </w:rPr>
        <w:t>资格的球队成员在参赛期间统一购买的意外伤害保险。因体育比赛具有导致受伤的风险、且受伤严重程度无法预估，因此，一切运动意外伤害保险理赔范围与金额的赔付事宜，须由各参赛球队和／或所属单位和／或本人自行承担，与赛事组委会无关。</w:t>
      </w:r>
    </w:p>
    <w:p>
      <w:pPr>
        <w:keepNext w:val="0"/>
        <w:keepLines w:val="0"/>
        <w:pageBreakBefore w:val="0"/>
        <w:widowControl/>
        <w:kinsoku/>
        <w:wordWrap/>
        <w:overflowPunct/>
        <w:topLinePunct w:val="0"/>
        <w:autoSpaceDE w:val="0"/>
        <w:autoSpaceDN w:val="0"/>
        <w:bidi w:val="0"/>
        <w:adjustRightInd w:val="0"/>
        <w:snapToGrid/>
        <w:spacing w:line="56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五、比赛期间，如因本人原因造成他人人身或财产损失的，本人将自行承担全部赔偿责任。</w:t>
      </w:r>
    </w:p>
    <w:p>
      <w:pPr>
        <w:keepNext w:val="0"/>
        <w:keepLines w:val="0"/>
        <w:pageBreakBefore w:val="0"/>
        <w:widowControl/>
        <w:kinsoku/>
        <w:wordWrap/>
        <w:overflowPunct/>
        <w:topLinePunct w:val="0"/>
        <w:autoSpaceDE w:val="0"/>
        <w:autoSpaceDN w:val="0"/>
        <w:bidi w:val="0"/>
        <w:adjustRightInd w:val="0"/>
        <w:snapToGrid/>
        <w:spacing w:line="56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特此承诺！</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2100"/>
        <w:gridCol w:w="1365"/>
        <w:gridCol w:w="2625"/>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vAlign w:val="center"/>
          </w:tcPr>
          <w:p>
            <w:pPr>
              <w:keepNext w:val="0"/>
              <w:keepLines w:val="0"/>
              <w:pageBreakBefore w:val="0"/>
              <w:widowControl/>
              <w:kinsoku/>
              <w:wordWrap/>
              <w:overflowPunct/>
              <w:topLinePunct w:val="0"/>
              <w:autoSpaceDE w:val="0"/>
              <w:autoSpaceDN w:val="0"/>
              <w:bidi w:val="0"/>
              <w:adjustRightInd w:val="0"/>
              <w:snapToGrid/>
              <w:spacing w:line="560" w:lineRule="exact"/>
              <w:jc w:val="center"/>
              <w:textAlignment w:val="auto"/>
              <w:rPr>
                <w:rFonts w:hint="eastAsia" w:ascii="华文仿宋" w:hAnsi="华文仿宋" w:eastAsia="华文仿宋" w:cs="PingFang SC"/>
                <w:kern w:val="0"/>
                <w:sz w:val="30"/>
                <w:szCs w:val="30"/>
                <w:lang w:val="en-US" w:eastAsia="zh-CN" w:bidi="ar-SA"/>
              </w:rPr>
            </w:pPr>
            <w:r>
              <w:rPr>
                <w:rFonts w:hint="eastAsia" w:ascii="华文仿宋" w:hAnsi="华文仿宋" w:eastAsia="华文仿宋" w:cs="PingFang SC"/>
                <w:kern w:val="0"/>
                <w:sz w:val="30"/>
                <w:szCs w:val="30"/>
              </w:rPr>
              <w:t>编号</w:t>
            </w:r>
          </w:p>
        </w:tc>
        <w:tc>
          <w:tcPr>
            <w:tcW w:w="2100" w:type="dxa"/>
            <w:vAlign w:val="center"/>
          </w:tcPr>
          <w:p>
            <w:pPr>
              <w:keepNext w:val="0"/>
              <w:keepLines w:val="0"/>
              <w:pageBreakBefore w:val="0"/>
              <w:widowControl/>
              <w:kinsoku/>
              <w:wordWrap/>
              <w:overflowPunct/>
              <w:topLinePunct w:val="0"/>
              <w:autoSpaceDE w:val="0"/>
              <w:autoSpaceDN w:val="0"/>
              <w:bidi w:val="0"/>
              <w:adjustRightInd w:val="0"/>
              <w:snapToGrid/>
              <w:spacing w:line="560" w:lineRule="exact"/>
              <w:jc w:val="center"/>
              <w:textAlignment w:val="auto"/>
              <w:rPr>
                <w:rFonts w:hint="eastAsia" w:ascii="华文仿宋" w:hAnsi="华文仿宋" w:eastAsia="华文仿宋" w:cs="PingFang SC"/>
                <w:kern w:val="0"/>
                <w:sz w:val="30"/>
                <w:szCs w:val="30"/>
                <w:lang w:val="en-US" w:eastAsia="zh-CN" w:bidi="ar-SA"/>
              </w:rPr>
            </w:pPr>
            <w:r>
              <w:rPr>
                <w:rFonts w:hint="eastAsia" w:ascii="华文仿宋" w:hAnsi="华文仿宋" w:eastAsia="华文仿宋" w:cs="PingFang SC"/>
                <w:kern w:val="0"/>
                <w:sz w:val="30"/>
                <w:szCs w:val="30"/>
              </w:rPr>
              <w:t>领队/教练/运动员/竞赛官员/裁判员</w:t>
            </w:r>
          </w:p>
        </w:tc>
        <w:tc>
          <w:tcPr>
            <w:tcW w:w="1365" w:type="dxa"/>
            <w:vAlign w:val="center"/>
          </w:tcPr>
          <w:p>
            <w:pPr>
              <w:keepNext w:val="0"/>
              <w:keepLines w:val="0"/>
              <w:pageBreakBefore w:val="0"/>
              <w:widowControl/>
              <w:kinsoku/>
              <w:wordWrap/>
              <w:overflowPunct/>
              <w:topLinePunct w:val="0"/>
              <w:autoSpaceDE w:val="0"/>
              <w:autoSpaceDN w:val="0"/>
              <w:bidi w:val="0"/>
              <w:adjustRightInd w:val="0"/>
              <w:snapToGrid/>
              <w:spacing w:line="560" w:lineRule="exact"/>
              <w:jc w:val="center"/>
              <w:textAlignment w:val="auto"/>
              <w:rPr>
                <w:rFonts w:hint="eastAsia" w:ascii="华文仿宋" w:hAnsi="华文仿宋" w:eastAsia="华文仿宋" w:cs="PingFang SC"/>
                <w:kern w:val="0"/>
                <w:sz w:val="30"/>
                <w:szCs w:val="30"/>
                <w:lang w:val="en-US" w:eastAsia="zh-CN" w:bidi="ar-SA"/>
              </w:rPr>
            </w:pPr>
            <w:r>
              <w:rPr>
                <w:rFonts w:hint="eastAsia" w:ascii="华文仿宋" w:hAnsi="华文仿宋" w:eastAsia="华文仿宋" w:cs="PingFang SC"/>
                <w:kern w:val="0"/>
                <w:sz w:val="30"/>
                <w:szCs w:val="30"/>
              </w:rPr>
              <w:t>姓名</w:t>
            </w:r>
          </w:p>
        </w:tc>
        <w:tc>
          <w:tcPr>
            <w:tcW w:w="2625" w:type="dxa"/>
            <w:vAlign w:val="center"/>
          </w:tcPr>
          <w:p>
            <w:pPr>
              <w:keepNext w:val="0"/>
              <w:keepLines w:val="0"/>
              <w:pageBreakBefore w:val="0"/>
              <w:widowControl/>
              <w:kinsoku/>
              <w:wordWrap/>
              <w:overflowPunct/>
              <w:topLinePunct w:val="0"/>
              <w:autoSpaceDE w:val="0"/>
              <w:autoSpaceDN w:val="0"/>
              <w:bidi w:val="0"/>
              <w:adjustRightInd w:val="0"/>
              <w:snapToGrid/>
              <w:spacing w:line="560" w:lineRule="exact"/>
              <w:jc w:val="center"/>
              <w:textAlignment w:val="auto"/>
              <w:rPr>
                <w:rFonts w:hint="eastAsia" w:ascii="华文仿宋" w:hAnsi="华文仿宋" w:eastAsia="华文仿宋" w:cs="PingFang SC"/>
                <w:kern w:val="0"/>
                <w:sz w:val="30"/>
                <w:szCs w:val="30"/>
                <w:lang w:val="en-US" w:eastAsia="zh-CN" w:bidi="ar-SA"/>
              </w:rPr>
            </w:pPr>
            <w:r>
              <w:rPr>
                <w:rFonts w:hint="eastAsia" w:ascii="华文仿宋" w:hAnsi="华文仿宋" w:eastAsia="华文仿宋" w:cs="PingFang SC"/>
                <w:kern w:val="0"/>
                <w:sz w:val="30"/>
                <w:szCs w:val="30"/>
              </w:rPr>
              <w:t>身份证号</w:t>
            </w:r>
          </w:p>
        </w:tc>
        <w:tc>
          <w:tcPr>
            <w:tcW w:w="1797" w:type="dxa"/>
            <w:vAlign w:val="center"/>
          </w:tcPr>
          <w:p>
            <w:pPr>
              <w:keepNext w:val="0"/>
              <w:keepLines w:val="0"/>
              <w:pageBreakBefore w:val="0"/>
              <w:widowControl/>
              <w:kinsoku/>
              <w:wordWrap/>
              <w:overflowPunct/>
              <w:topLinePunct w:val="0"/>
              <w:autoSpaceDE w:val="0"/>
              <w:autoSpaceDN w:val="0"/>
              <w:bidi w:val="0"/>
              <w:adjustRightInd w:val="0"/>
              <w:snapToGrid/>
              <w:spacing w:line="560" w:lineRule="exact"/>
              <w:jc w:val="center"/>
              <w:textAlignment w:val="auto"/>
              <w:rPr>
                <w:rFonts w:ascii="华文仿宋" w:hAnsi="华文仿宋" w:eastAsia="华文仿宋" w:cs="PingFang SC"/>
                <w:kern w:val="0"/>
                <w:sz w:val="30"/>
                <w:szCs w:val="30"/>
              </w:rPr>
            </w:pPr>
          </w:p>
          <w:p>
            <w:pPr>
              <w:keepNext w:val="0"/>
              <w:keepLines w:val="0"/>
              <w:pageBreakBefore w:val="0"/>
              <w:widowControl/>
              <w:kinsoku/>
              <w:wordWrap/>
              <w:overflowPunct/>
              <w:topLinePunct w:val="0"/>
              <w:autoSpaceDE w:val="0"/>
              <w:autoSpaceDN w:val="0"/>
              <w:bidi w:val="0"/>
              <w:adjustRightInd w:val="0"/>
              <w:snapToGrid/>
              <w:spacing w:line="560" w:lineRule="exact"/>
              <w:jc w:val="center"/>
              <w:textAlignment w:val="auto"/>
              <w:rPr>
                <w:rFonts w:ascii="华文仿宋" w:hAnsi="华文仿宋" w:eastAsia="华文仿宋" w:cs="PingFang SC"/>
                <w:kern w:val="0"/>
                <w:sz w:val="30"/>
                <w:szCs w:val="30"/>
              </w:rPr>
            </w:pPr>
            <w:r>
              <w:rPr>
                <w:rFonts w:hint="eastAsia" w:ascii="华文仿宋" w:hAnsi="华文仿宋" w:eastAsia="华文仿宋" w:cs="PingFang SC"/>
                <w:kern w:val="0"/>
                <w:sz w:val="30"/>
                <w:szCs w:val="30"/>
              </w:rPr>
              <w:t>联系方式</w:t>
            </w:r>
          </w:p>
          <w:p>
            <w:pPr>
              <w:keepNext w:val="0"/>
              <w:keepLines w:val="0"/>
              <w:pageBreakBefore w:val="0"/>
              <w:widowControl/>
              <w:kinsoku/>
              <w:wordWrap/>
              <w:overflowPunct/>
              <w:topLinePunct w:val="0"/>
              <w:autoSpaceDE w:val="0"/>
              <w:autoSpaceDN w:val="0"/>
              <w:bidi w:val="0"/>
              <w:adjustRightInd w:val="0"/>
              <w:snapToGrid/>
              <w:spacing w:line="560" w:lineRule="exact"/>
              <w:jc w:val="center"/>
              <w:textAlignment w:val="auto"/>
              <w:rPr>
                <w:rFonts w:hint="eastAsia" w:ascii="华文仿宋" w:hAnsi="华文仿宋" w:eastAsia="华文仿宋" w:cs="PingFang SC"/>
                <w:kern w:val="0"/>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67" w:type="dxa"/>
            <w:vAlign w:val="top"/>
          </w:tcPr>
          <w:p>
            <w:pPr>
              <w:pStyle w:val="10"/>
              <w:rPr>
                <w:rFonts w:hint="eastAsia" w:ascii="仿宋" w:hAnsi="仿宋" w:eastAsia="仿宋" w:cs="仿宋"/>
                <w:kern w:val="0"/>
                <w:sz w:val="32"/>
                <w:szCs w:val="32"/>
                <w:vertAlign w:val="baseline"/>
              </w:rPr>
            </w:pPr>
          </w:p>
        </w:tc>
        <w:tc>
          <w:tcPr>
            <w:tcW w:w="2100" w:type="dxa"/>
            <w:vAlign w:val="top"/>
          </w:tcPr>
          <w:p>
            <w:pPr>
              <w:pStyle w:val="10"/>
              <w:rPr>
                <w:rFonts w:hint="eastAsia" w:ascii="仿宋" w:hAnsi="仿宋" w:eastAsia="仿宋" w:cs="仿宋"/>
                <w:kern w:val="0"/>
                <w:sz w:val="32"/>
                <w:szCs w:val="32"/>
                <w:vertAlign w:val="baseline"/>
              </w:rPr>
            </w:pPr>
          </w:p>
        </w:tc>
        <w:tc>
          <w:tcPr>
            <w:tcW w:w="1365" w:type="dxa"/>
            <w:vAlign w:val="top"/>
          </w:tcPr>
          <w:p>
            <w:pPr>
              <w:pStyle w:val="10"/>
              <w:rPr>
                <w:rFonts w:hint="eastAsia" w:ascii="仿宋" w:hAnsi="仿宋" w:eastAsia="仿宋" w:cs="仿宋"/>
                <w:kern w:val="0"/>
                <w:sz w:val="32"/>
                <w:szCs w:val="32"/>
                <w:vertAlign w:val="baseline"/>
              </w:rPr>
            </w:pPr>
          </w:p>
        </w:tc>
        <w:tc>
          <w:tcPr>
            <w:tcW w:w="2625" w:type="dxa"/>
            <w:vAlign w:val="top"/>
          </w:tcPr>
          <w:p>
            <w:pPr>
              <w:pStyle w:val="10"/>
              <w:rPr>
                <w:rFonts w:hint="eastAsia" w:ascii="仿宋" w:hAnsi="仿宋" w:eastAsia="仿宋" w:cs="仿宋"/>
                <w:kern w:val="0"/>
                <w:sz w:val="32"/>
                <w:szCs w:val="32"/>
                <w:vertAlign w:val="baseline"/>
              </w:rPr>
            </w:pPr>
          </w:p>
        </w:tc>
        <w:tc>
          <w:tcPr>
            <w:tcW w:w="1797" w:type="dxa"/>
            <w:vAlign w:val="top"/>
          </w:tcPr>
          <w:p>
            <w:pPr>
              <w:pStyle w:val="10"/>
              <w:rPr>
                <w:rFonts w:hint="eastAsia" w:ascii="仿宋" w:hAnsi="仿宋" w:eastAsia="仿宋" w:cs="仿宋"/>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67" w:type="dxa"/>
            <w:vAlign w:val="top"/>
          </w:tcPr>
          <w:p>
            <w:pPr>
              <w:pStyle w:val="10"/>
              <w:rPr>
                <w:rFonts w:hint="eastAsia" w:ascii="仿宋" w:hAnsi="仿宋" w:eastAsia="仿宋" w:cs="仿宋"/>
                <w:kern w:val="0"/>
                <w:sz w:val="32"/>
                <w:szCs w:val="32"/>
                <w:vertAlign w:val="baseline"/>
              </w:rPr>
            </w:pPr>
          </w:p>
        </w:tc>
        <w:tc>
          <w:tcPr>
            <w:tcW w:w="2100" w:type="dxa"/>
            <w:vAlign w:val="top"/>
          </w:tcPr>
          <w:p>
            <w:pPr>
              <w:pStyle w:val="10"/>
              <w:rPr>
                <w:rFonts w:hint="eastAsia" w:ascii="仿宋" w:hAnsi="仿宋" w:eastAsia="仿宋" w:cs="仿宋"/>
                <w:kern w:val="0"/>
                <w:sz w:val="32"/>
                <w:szCs w:val="32"/>
                <w:vertAlign w:val="baseline"/>
              </w:rPr>
            </w:pPr>
          </w:p>
        </w:tc>
        <w:tc>
          <w:tcPr>
            <w:tcW w:w="1365" w:type="dxa"/>
            <w:vAlign w:val="top"/>
          </w:tcPr>
          <w:p>
            <w:pPr>
              <w:pStyle w:val="10"/>
              <w:rPr>
                <w:rFonts w:hint="eastAsia" w:ascii="仿宋" w:hAnsi="仿宋" w:eastAsia="仿宋" w:cs="仿宋"/>
                <w:kern w:val="0"/>
                <w:sz w:val="32"/>
                <w:szCs w:val="32"/>
                <w:vertAlign w:val="baseline"/>
              </w:rPr>
            </w:pPr>
          </w:p>
        </w:tc>
        <w:tc>
          <w:tcPr>
            <w:tcW w:w="2625" w:type="dxa"/>
            <w:vAlign w:val="top"/>
          </w:tcPr>
          <w:p>
            <w:pPr>
              <w:pStyle w:val="10"/>
              <w:rPr>
                <w:rFonts w:hint="eastAsia" w:ascii="仿宋" w:hAnsi="仿宋" w:eastAsia="仿宋" w:cs="仿宋"/>
                <w:kern w:val="0"/>
                <w:sz w:val="32"/>
                <w:szCs w:val="32"/>
                <w:vertAlign w:val="baseline"/>
              </w:rPr>
            </w:pPr>
          </w:p>
        </w:tc>
        <w:tc>
          <w:tcPr>
            <w:tcW w:w="1797" w:type="dxa"/>
            <w:vAlign w:val="top"/>
          </w:tcPr>
          <w:p>
            <w:pPr>
              <w:pStyle w:val="10"/>
              <w:rPr>
                <w:rFonts w:hint="eastAsia" w:ascii="仿宋" w:hAnsi="仿宋" w:eastAsia="仿宋" w:cs="仿宋"/>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67" w:type="dxa"/>
            <w:vAlign w:val="top"/>
          </w:tcPr>
          <w:p>
            <w:pPr>
              <w:pStyle w:val="10"/>
              <w:rPr>
                <w:rFonts w:hint="eastAsia" w:ascii="仿宋" w:hAnsi="仿宋" w:eastAsia="仿宋" w:cs="仿宋"/>
                <w:kern w:val="0"/>
                <w:sz w:val="32"/>
                <w:szCs w:val="32"/>
                <w:vertAlign w:val="baseline"/>
              </w:rPr>
            </w:pPr>
          </w:p>
        </w:tc>
        <w:tc>
          <w:tcPr>
            <w:tcW w:w="2100" w:type="dxa"/>
            <w:vAlign w:val="top"/>
          </w:tcPr>
          <w:p>
            <w:pPr>
              <w:pStyle w:val="10"/>
              <w:rPr>
                <w:rFonts w:hint="eastAsia" w:ascii="仿宋" w:hAnsi="仿宋" w:eastAsia="仿宋" w:cs="仿宋"/>
                <w:kern w:val="0"/>
                <w:sz w:val="32"/>
                <w:szCs w:val="32"/>
                <w:vertAlign w:val="baseline"/>
              </w:rPr>
            </w:pPr>
          </w:p>
        </w:tc>
        <w:tc>
          <w:tcPr>
            <w:tcW w:w="1365" w:type="dxa"/>
            <w:vAlign w:val="top"/>
          </w:tcPr>
          <w:p>
            <w:pPr>
              <w:pStyle w:val="10"/>
              <w:rPr>
                <w:rFonts w:hint="eastAsia" w:ascii="仿宋" w:hAnsi="仿宋" w:eastAsia="仿宋" w:cs="仿宋"/>
                <w:kern w:val="0"/>
                <w:sz w:val="32"/>
                <w:szCs w:val="32"/>
                <w:vertAlign w:val="baseline"/>
              </w:rPr>
            </w:pPr>
          </w:p>
        </w:tc>
        <w:tc>
          <w:tcPr>
            <w:tcW w:w="2625" w:type="dxa"/>
            <w:vAlign w:val="top"/>
          </w:tcPr>
          <w:p>
            <w:pPr>
              <w:pStyle w:val="10"/>
              <w:rPr>
                <w:rFonts w:hint="eastAsia" w:ascii="仿宋" w:hAnsi="仿宋" w:eastAsia="仿宋" w:cs="仿宋"/>
                <w:kern w:val="0"/>
                <w:sz w:val="32"/>
                <w:szCs w:val="32"/>
                <w:vertAlign w:val="baseline"/>
              </w:rPr>
            </w:pPr>
          </w:p>
        </w:tc>
        <w:tc>
          <w:tcPr>
            <w:tcW w:w="1797" w:type="dxa"/>
            <w:vAlign w:val="top"/>
          </w:tcPr>
          <w:p>
            <w:pPr>
              <w:pStyle w:val="10"/>
              <w:rPr>
                <w:rFonts w:hint="eastAsia" w:ascii="仿宋" w:hAnsi="仿宋" w:eastAsia="仿宋" w:cs="仿宋"/>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67" w:type="dxa"/>
            <w:vAlign w:val="top"/>
          </w:tcPr>
          <w:p>
            <w:pPr>
              <w:pStyle w:val="10"/>
              <w:rPr>
                <w:rFonts w:hint="eastAsia" w:ascii="仿宋" w:hAnsi="仿宋" w:eastAsia="仿宋" w:cs="仿宋"/>
                <w:kern w:val="0"/>
                <w:sz w:val="32"/>
                <w:szCs w:val="32"/>
                <w:vertAlign w:val="baseline"/>
              </w:rPr>
            </w:pPr>
          </w:p>
        </w:tc>
        <w:tc>
          <w:tcPr>
            <w:tcW w:w="2100" w:type="dxa"/>
            <w:vAlign w:val="top"/>
          </w:tcPr>
          <w:p>
            <w:pPr>
              <w:pStyle w:val="10"/>
              <w:rPr>
                <w:rFonts w:hint="eastAsia" w:ascii="仿宋" w:hAnsi="仿宋" w:eastAsia="仿宋" w:cs="仿宋"/>
                <w:kern w:val="0"/>
                <w:sz w:val="32"/>
                <w:szCs w:val="32"/>
                <w:vertAlign w:val="baseline"/>
              </w:rPr>
            </w:pPr>
          </w:p>
        </w:tc>
        <w:tc>
          <w:tcPr>
            <w:tcW w:w="1365" w:type="dxa"/>
            <w:vAlign w:val="top"/>
          </w:tcPr>
          <w:p>
            <w:pPr>
              <w:pStyle w:val="10"/>
              <w:rPr>
                <w:rFonts w:hint="eastAsia" w:ascii="仿宋" w:hAnsi="仿宋" w:eastAsia="仿宋" w:cs="仿宋"/>
                <w:kern w:val="0"/>
                <w:sz w:val="32"/>
                <w:szCs w:val="32"/>
                <w:vertAlign w:val="baseline"/>
              </w:rPr>
            </w:pPr>
          </w:p>
        </w:tc>
        <w:tc>
          <w:tcPr>
            <w:tcW w:w="2625" w:type="dxa"/>
            <w:vAlign w:val="top"/>
          </w:tcPr>
          <w:p>
            <w:pPr>
              <w:pStyle w:val="10"/>
              <w:rPr>
                <w:rFonts w:hint="eastAsia" w:ascii="仿宋" w:hAnsi="仿宋" w:eastAsia="仿宋" w:cs="仿宋"/>
                <w:kern w:val="0"/>
                <w:sz w:val="32"/>
                <w:szCs w:val="32"/>
                <w:vertAlign w:val="baseline"/>
              </w:rPr>
            </w:pPr>
          </w:p>
        </w:tc>
        <w:tc>
          <w:tcPr>
            <w:tcW w:w="1797" w:type="dxa"/>
            <w:vAlign w:val="top"/>
          </w:tcPr>
          <w:p>
            <w:pPr>
              <w:pStyle w:val="10"/>
              <w:rPr>
                <w:rFonts w:hint="eastAsia" w:ascii="仿宋" w:hAnsi="仿宋" w:eastAsia="仿宋" w:cs="仿宋"/>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67" w:type="dxa"/>
            <w:vAlign w:val="top"/>
          </w:tcPr>
          <w:p>
            <w:pPr>
              <w:pStyle w:val="10"/>
              <w:rPr>
                <w:rFonts w:hint="eastAsia" w:ascii="仿宋" w:hAnsi="仿宋" w:eastAsia="仿宋" w:cs="仿宋"/>
                <w:kern w:val="0"/>
                <w:sz w:val="32"/>
                <w:szCs w:val="32"/>
                <w:vertAlign w:val="baseline"/>
              </w:rPr>
            </w:pPr>
          </w:p>
        </w:tc>
        <w:tc>
          <w:tcPr>
            <w:tcW w:w="2100" w:type="dxa"/>
            <w:vAlign w:val="top"/>
          </w:tcPr>
          <w:p>
            <w:pPr>
              <w:pStyle w:val="10"/>
              <w:rPr>
                <w:rFonts w:hint="eastAsia" w:ascii="仿宋" w:hAnsi="仿宋" w:eastAsia="仿宋" w:cs="仿宋"/>
                <w:kern w:val="0"/>
                <w:sz w:val="32"/>
                <w:szCs w:val="32"/>
                <w:vertAlign w:val="baseline"/>
              </w:rPr>
            </w:pPr>
          </w:p>
        </w:tc>
        <w:tc>
          <w:tcPr>
            <w:tcW w:w="1365" w:type="dxa"/>
            <w:vAlign w:val="top"/>
          </w:tcPr>
          <w:p>
            <w:pPr>
              <w:pStyle w:val="10"/>
              <w:rPr>
                <w:rFonts w:hint="eastAsia" w:ascii="仿宋" w:hAnsi="仿宋" w:eastAsia="仿宋" w:cs="仿宋"/>
                <w:kern w:val="0"/>
                <w:sz w:val="32"/>
                <w:szCs w:val="32"/>
                <w:vertAlign w:val="baseline"/>
              </w:rPr>
            </w:pPr>
          </w:p>
        </w:tc>
        <w:tc>
          <w:tcPr>
            <w:tcW w:w="2625" w:type="dxa"/>
            <w:vAlign w:val="top"/>
          </w:tcPr>
          <w:p>
            <w:pPr>
              <w:pStyle w:val="10"/>
              <w:rPr>
                <w:rFonts w:hint="eastAsia" w:ascii="仿宋" w:hAnsi="仿宋" w:eastAsia="仿宋" w:cs="仿宋"/>
                <w:kern w:val="0"/>
                <w:sz w:val="32"/>
                <w:szCs w:val="32"/>
                <w:vertAlign w:val="baseline"/>
              </w:rPr>
            </w:pPr>
          </w:p>
        </w:tc>
        <w:tc>
          <w:tcPr>
            <w:tcW w:w="1797" w:type="dxa"/>
            <w:vAlign w:val="top"/>
          </w:tcPr>
          <w:p>
            <w:pPr>
              <w:pStyle w:val="10"/>
              <w:rPr>
                <w:rFonts w:hint="eastAsia" w:ascii="仿宋" w:hAnsi="仿宋" w:eastAsia="仿宋" w:cs="仿宋"/>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67" w:type="dxa"/>
            <w:vAlign w:val="top"/>
          </w:tcPr>
          <w:p>
            <w:pPr>
              <w:pStyle w:val="10"/>
              <w:rPr>
                <w:rFonts w:hint="eastAsia" w:ascii="仿宋" w:hAnsi="仿宋" w:eastAsia="仿宋" w:cs="仿宋"/>
                <w:kern w:val="0"/>
                <w:sz w:val="32"/>
                <w:szCs w:val="32"/>
                <w:vertAlign w:val="baseline"/>
              </w:rPr>
            </w:pPr>
          </w:p>
        </w:tc>
        <w:tc>
          <w:tcPr>
            <w:tcW w:w="2100" w:type="dxa"/>
            <w:vAlign w:val="top"/>
          </w:tcPr>
          <w:p>
            <w:pPr>
              <w:pStyle w:val="10"/>
              <w:rPr>
                <w:rFonts w:hint="eastAsia" w:ascii="仿宋" w:hAnsi="仿宋" w:eastAsia="仿宋" w:cs="仿宋"/>
                <w:kern w:val="0"/>
                <w:sz w:val="32"/>
                <w:szCs w:val="32"/>
                <w:vertAlign w:val="baseline"/>
              </w:rPr>
            </w:pPr>
          </w:p>
        </w:tc>
        <w:tc>
          <w:tcPr>
            <w:tcW w:w="1365" w:type="dxa"/>
            <w:vAlign w:val="top"/>
          </w:tcPr>
          <w:p>
            <w:pPr>
              <w:pStyle w:val="10"/>
              <w:rPr>
                <w:rFonts w:hint="eastAsia" w:ascii="仿宋" w:hAnsi="仿宋" w:eastAsia="仿宋" w:cs="仿宋"/>
                <w:kern w:val="0"/>
                <w:sz w:val="32"/>
                <w:szCs w:val="32"/>
                <w:vertAlign w:val="baseline"/>
              </w:rPr>
            </w:pPr>
          </w:p>
        </w:tc>
        <w:tc>
          <w:tcPr>
            <w:tcW w:w="2625" w:type="dxa"/>
            <w:vAlign w:val="top"/>
          </w:tcPr>
          <w:p>
            <w:pPr>
              <w:pStyle w:val="10"/>
              <w:rPr>
                <w:rFonts w:hint="eastAsia" w:ascii="仿宋" w:hAnsi="仿宋" w:eastAsia="仿宋" w:cs="仿宋"/>
                <w:kern w:val="0"/>
                <w:sz w:val="32"/>
                <w:szCs w:val="32"/>
                <w:vertAlign w:val="baseline"/>
              </w:rPr>
            </w:pPr>
          </w:p>
        </w:tc>
        <w:tc>
          <w:tcPr>
            <w:tcW w:w="1797" w:type="dxa"/>
            <w:vAlign w:val="top"/>
          </w:tcPr>
          <w:p>
            <w:pPr>
              <w:pStyle w:val="10"/>
              <w:rPr>
                <w:rFonts w:hint="eastAsia" w:ascii="仿宋" w:hAnsi="仿宋" w:eastAsia="仿宋" w:cs="仿宋"/>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67" w:type="dxa"/>
            <w:vAlign w:val="top"/>
          </w:tcPr>
          <w:p>
            <w:pPr>
              <w:pStyle w:val="10"/>
              <w:rPr>
                <w:rFonts w:hint="eastAsia" w:ascii="仿宋" w:hAnsi="仿宋" w:eastAsia="仿宋" w:cs="仿宋"/>
                <w:kern w:val="0"/>
                <w:sz w:val="32"/>
                <w:szCs w:val="32"/>
                <w:vertAlign w:val="baseline"/>
              </w:rPr>
            </w:pPr>
          </w:p>
        </w:tc>
        <w:tc>
          <w:tcPr>
            <w:tcW w:w="2100" w:type="dxa"/>
            <w:vAlign w:val="top"/>
          </w:tcPr>
          <w:p>
            <w:pPr>
              <w:pStyle w:val="10"/>
              <w:rPr>
                <w:rFonts w:hint="eastAsia" w:ascii="仿宋" w:hAnsi="仿宋" w:eastAsia="仿宋" w:cs="仿宋"/>
                <w:kern w:val="0"/>
                <w:sz w:val="32"/>
                <w:szCs w:val="32"/>
                <w:vertAlign w:val="baseline"/>
              </w:rPr>
            </w:pPr>
          </w:p>
        </w:tc>
        <w:tc>
          <w:tcPr>
            <w:tcW w:w="1365" w:type="dxa"/>
            <w:vAlign w:val="top"/>
          </w:tcPr>
          <w:p>
            <w:pPr>
              <w:pStyle w:val="10"/>
              <w:rPr>
                <w:rFonts w:hint="eastAsia" w:ascii="仿宋" w:hAnsi="仿宋" w:eastAsia="仿宋" w:cs="仿宋"/>
                <w:kern w:val="0"/>
                <w:sz w:val="32"/>
                <w:szCs w:val="32"/>
                <w:vertAlign w:val="baseline"/>
              </w:rPr>
            </w:pPr>
          </w:p>
        </w:tc>
        <w:tc>
          <w:tcPr>
            <w:tcW w:w="2625" w:type="dxa"/>
            <w:vAlign w:val="top"/>
          </w:tcPr>
          <w:p>
            <w:pPr>
              <w:pStyle w:val="10"/>
              <w:rPr>
                <w:rFonts w:hint="eastAsia" w:ascii="仿宋" w:hAnsi="仿宋" w:eastAsia="仿宋" w:cs="仿宋"/>
                <w:kern w:val="0"/>
                <w:sz w:val="32"/>
                <w:szCs w:val="32"/>
                <w:vertAlign w:val="baseline"/>
              </w:rPr>
            </w:pPr>
          </w:p>
        </w:tc>
        <w:tc>
          <w:tcPr>
            <w:tcW w:w="1797" w:type="dxa"/>
            <w:vAlign w:val="top"/>
          </w:tcPr>
          <w:p>
            <w:pPr>
              <w:pStyle w:val="10"/>
              <w:rPr>
                <w:rFonts w:hint="eastAsia" w:ascii="仿宋" w:hAnsi="仿宋" w:eastAsia="仿宋" w:cs="仿宋"/>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67" w:type="dxa"/>
            <w:vAlign w:val="top"/>
          </w:tcPr>
          <w:p>
            <w:pPr>
              <w:pStyle w:val="10"/>
              <w:rPr>
                <w:rFonts w:hint="eastAsia" w:ascii="仿宋" w:hAnsi="仿宋" w:eastAsia="仿宋" w:cs="仿宋"/>
                <w:kern w:val="0"/>
                <w:sz w:val="32"/>
                <w:szCs w:val="32"/>
                <w:vertAlign w:val="baseline"/>
              </w:rPr>
            </w:pPr>
          </w:p>
        </w:tc>
        <w:tc>
          <w:tcPr>
            <w:tcW w:w="2100" w:type="dxa"/>
            <w:vAlign w:val="top"/>
          </w:tcPr>
          <w:p>
            <w:pPr>
              <w:pStyle w:val="10"/>
              <w:rPr>
                <w:rFonts w:hint="eastAsia" w:ascii="仿宋" w:hAnsi="仿宋" w:eastAsia="仿宋" w:cs="仿宋"/>
                <w:kern w:val="0"/>
                <w:sz w:val="32"/>
                <w:szCs w:val="32"/>
                <w:vertAlign w:val="baseline"/>
              </w:rPr>
            </w:pPr>
          </w:p>
        </w:tc>
        <w:tc>
          <w:tcPr>
            <w:tcW w:w="1365" w:type="dxa"/>
            <w:vAlign w:val="top"/>
          </w:tcPr>
          <w:p>
            <w:pPr>
              <w:pStyle w:val="10"/>
              <w:rPr>
                <w:rFonts w:hint="eastAsia" w:ascii="仿宋" w:hAnsi="仿宋" w:eastAsia="仿宋" w:cs="仿宋"/>
                <w:kern w:val="0"/>
                <w:sz w:val="32"/>
                <w:szCs w:val="32"/>
                <w:vertAlign w:val="baseline"/>
              </w:rPr>
            </w:pPr>
          </w:p>
        </w:tc>
        <w:tc>
          <w:tcPr>
            <w:tcW w:w="2625" w:type="dxa"/>
            <w:vAlign w:val="top"/>
          </w:tcPr>
          <w:p>
            <w:pPr>
              <w:pStyle w:val="10"/>
              <w:rPr>
                <w:rFonts w:hint="eastAsia" w:ascii="仿宋" w:hAnsi="仿宋" w:eastAsia="仿宋" w:cs="仿宋"/>
                <w:kern w:val="0"/>
                <w:sz w:val="32"/>
                <w:szCs w:val="32"/>
                <w:vertAlign w:val="baseline"/>
              </w:rPr>
            </w:pPr>
          </w:p>
        </w:tc>
        <w:tc>
          <w:tcPr>
            <w:tcW w:w="1797" w:type="dxa"/>
            <w:vAlign w:val="top"/>
          </w:tcPr>
          <w:p>
            <w:pPr>
              <w:pStyle w:val="10"/>
              <w:rPr>
                <w:rFonts w:hint="eastAsia" w:ascii="仿宋" w:hAnsi="仿宋" w:eastAsia="仿宋" w:cs="仿宋"/>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67" w:type="dxa"/>
            <w:vAlign w:val="top"/>
          </w:tcPr>
          <w:p>
            <w:pPr>
              <w:pStyle w:val="10"/>
              <w:rPr>
                <w:rFonts w:hint="eastAsia" w:ascii="仿宋" w:hAnsi="仿宋" w:eastAsia="仿宋" w:cs="仿宋"/>
                <w:kern w:val="0"/>
                <w:sz w:val="32"/>
                <w:szCs w:val="32"/>
                <w:vertAlign w:val="baseline"/>
              </w:rPr>
            </w:pPr>
          </w:p>
        </w:tc>
        <w:tc>
          <w:tcPr>
            <w:tcW w:w="2100" w:type="dxa"/>
            <w:vAlign w:val="top"/>
          </w:tcPr>
          <w:p>
            <w:pPr>
              <w:pStyle w:val="10"/>
              <w:rPr>
                <w:rFonts w:hint="eastAsia" w:ascii="仿宋" w:hAnsi="仿宋" w:eastAsia="仿宋" w:cs="仿宋"/>
                <w:kern w:val="0"/>
                <w:sz w:val="32"/>
                <w:szCs w:val="32"/>
                <w:vertAlign w:val="baseline"/>
              </w:rPr>
            </w:pPr>
          </w:p>
        </w:tc>
        <w:tc>
          <w:tcPr>
            <w:tcW w:w="1365" w:type="dxa"/>
            <w:vAlign w:val="top"/>
          </w:tcPr>
          <w:p>
            <w:pPr>
              <w:pStyle w:val="10"/>
              <w:rPr>
                <w:rFonts w:hint="eastAsia" w:ascii="仿宋" w:hAnsi="仿宋" w:eastAsia="仿宋" w:cs="仿宋"/>
                <w:kern w:val="0"/>
                <w:sz w:val="32"/>
                <w:szCs w:val="32"/>
                <w:vertAlign w:val="baseline"/>
              </w:rPr>
            </w:pPr>
          </w:p>
        </w:tc>
        <w:tc>
          <w:tcPr>
            <w:tcW w:w="2625" w:type="dxa"/>
            <w:vAlign w:val="top"/>
          </w:tcPr>
          <w:p>
            <w:pPr>
              <w:pStyle w:val="10"/>
              <w:rPr>
                <w:rFonts w:hint="eastAsia" w:ascii="仿宋" w:hAnsi="仿宋" w:eastAsia="仿宋" w:cs="仿宋"/>
                <w:kern w:val="0"/>
                <w:sz w:val="32"/>
                <w:szCs w:val="32"/>
                <w:vertAlign w:val="baseline"/>
              </w:rPr>
            </w:pPr>
          </w:p>
        </w:tc>
        <w:tc>
          <w:tcPr>
            <w:tcW w:w="1797" w:type="dxa"/>
            <w:vAlign w:val="top"/>
          </w:tcPr>
          <w:p>
            <w:pPr>
              <w:pStyle w:val="10"/>
              <w:rPr>
                <w:rFonts w:hint="eastAsia" w:ascii="仿宋" w:hAnsi="仿宋" w:eastAsia="仿宋" w:cs="仿宋"/>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67" w:type="dxa"/>
            <w:vAlign w:val="top"/>
          </w:tcPr>
          <w:p>
            <w:pPr>
              <w:pStyle w:val="10"/>
              <w:rPr>
                <w:rFonts w:hint="eastAsia" w:ascii="仿宋" w:hAnsi="仿宋" w:eastAsia="仿宋" w:cs="仿宋"/>
                <w:kern w:val="0"/>
                <w:sz w:val="32"/>
                <w:szCs w:val="32"/>
                <w:vertAlign w:val="baseline"/>
              </w:rPr>
            </w:pPr>
          </w:p>
        </w:tc>
        <w:tc>
          <w:tcPr>
            <w:tcW w:w="2100" w:type="dxa"/>
            <w:vAlign w:val="top"/>
          </w:tcPr>
          <w:p>
            <w:pPr>
              <w:pStyle w:val="10"/>
              <w:rPr>
                <w:rFonts w:hint="eastAsia" w:ascii="仿宋" w:hAnsi="仿宋" w:eastAsia="仿宋" w:cs="仿宋"/>
                <w:kern w:val="0"/>
                <w:sz w:val="32"/>
                <w:szCs w:val="32"/>
                <w:vertAlign w:val="baseline"/>
              </w:rPr>
            </w:pPr>
          </w:p>
        </w:tc>
        <w:tc>
          <w:tcPr>
            <w:tcW w:w="1365" w:type="dxa"/>
            <w:vAlign w:val="top"/>
          </w:tcPr>
          <w:p>
            <w:pPr>
              <w:pStyle w:val="10"/>
              <w:rPr>
                <w:rFonts w:hint="eastAsia" w:ascii="仿宋" w:hAnsi="仿宋" w:eastAsia="仿宋" w:cs="仿宋"/>
                <w:kern w:val="0"/>
                <w:sz w:val="32"/>
                <w:szCs w:val="32"/>
                <w:vertAlign w:val="baseline"/>
              </w:rPr>
            </w:pPr>
          </w:p>
        </w:tc>
        <w:tc>
          <w:tcPr>
            <w:tcW w:w="2625" w:type="dxa"/>
            <w:vAlign w:val="top"/>
          </w:tcPr>
          <w:p>
            <w:pPr>
              <w:pStyle w:val="10"/>
              <w:rPr>
                <w:rFonts w:hint="eastAsia" w:ascii="仿宋" w:hAnsi="仿宋" w:eastAsia="仿宋" w:cs="仿宋"/>
                <w:kern w:val="0"/>
                <w:sz w:val="32"/>
                <w:szCs w:val="32"/>
                <w:vertAlign w:val="baseline"/>
              </w:rPr>
            </w:pPr>
          </w:p>
        </w:tc>
        <w:tc>
          <w:tcPr>
            <w:tcW w:w="1797" w:type="dxa"/>
            <w:vAlign w:val="top"/>
          </w:tcPr>
          <w:p>
            <w:pPr>
              <w:pStyle w:val="10"/>
              <w:rPr>
                <w:rFonts w:hint="eastAsia" w:ascii="仿宋" w:hAnsi="仿宋" w:eastAsia="仿宋" w:cs="仿宋"/>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67" w:type="dxa"/>
            <w:vAlign w:val="top"/>
          </w:tcPr>
          <w:p>
            <w:pPr>
              <w:pStyle w:val="10"/>
              <w:rPr>
                <w:rFonts w:hint="eastAsia" w:ascii="仿宋" w:hAnsi="仿宋" w:eastAsia="仿宋" w:cs="仿宋"/>
                <w:kern w:val="0"/>
                <w:sz w:val="32"/>
                <w:szCs w:val="32"/>
                <w:vertAlign w:val="baseline"/>
              </w:rPr>
            </w:pPr>
          </w:p>
        </w:tc>
        <w:tc>
          <w:tcPr>
            <w:tcW w:w="2100" w:type="dxa"/>
            <w:vAlign w:val="top"/>
          </w:tcPr>
          <w:p>
            <w:pPr>
              <w:pStyle w:val="10"/>
              <w:rPr>
                <w:rFonts w:hint="eastAsia" w:ascii="仿宋" w:hAnsi="仿宋" w:eastAsia="仿宋" w:cs="仿宋"/>
                <w:kern w:val="0"/>
                <w:sz w:val="32"/>
                <w:szCs w:val="32"/>
                <w:vertAlign w:val="baseline"/>
              </w:rPr>
            </w:pPr>
          </w:p>
        </w:tc>
        <w:tc>
          <w:tcPr>
            <w:tcW w:w="1365" w:type="dxa"/>
            <w:vAlign w:val="top"/>
          </w:tcPr>
          <w:p>
            <w:pPr>
              <w:pStyle w:val="10"/>
              <w:rPr>
                <w:rFonts w:hint="eastAsia" w:ascii="仿宋" w:hAnsi="仿宋" w:eastAsia="仿宋" w:cs="仿宋"/>
                <w:kern w:val="0"/>
                <w:sz w:val="32"/>
                <w:szCs w:val="32"/>
                <w:vertAlign w:val="baseline"/>
              </w:rPr>
            </w:pPr>
          </w:p>
        </w:tc>
        <w:tc>
          <w:tcPr>
            <w:tcW w:w="2625" w:type="dxa"/>
            <w:vAlign w:val="top"/>
          </w:tcPr>
          <w:p>
            <w:pPr>
              <w:pStyle w:val="10"/>
              <w:rPr>
                <w:rFonts w:hint="eastAsia" w:ascii="仿宋" w:hAnsi="仿宋" w:eastAsia="仿宋" w:cs="仿宋"/>
                <w:kern w:val="0"/>
                <w:sz w:val="32"/>
                <w:szCs w:val="32"/>
                <w:vertAlign w:val="baseline"/>
              </w:rPr>
            </w:pPr>
          </w:p>
        </w:tc>
        <w:tc>
          <w:tcPr>
            <w:tcW w:w="1797" w:type="dxa"/>
            <w:vAlign w:val="top"/>
          </w:tcPr>
          <w:p>
            <w:pPr>
              <w:pStyle w:val="10"/>
              <w:rPr>
                <w:rFonts w:hint="eastAsia" w:ascii="仿宋" w:hAnsi="仿宋" w:eastAsia="仿宋" w:cs="仿宋"/>
                <w:kern w:val="0"/>
                <w:sz w:val="32"/>
                <w:szCs w:val="32"/>
                <w:vertAlign w:val="baseline"/>
              </w:rPr>
            </w:pPr>
          </w:p>
        </w:tc>
      </w:tr>
    </w:tbl>
    <w:p>
      <w:pPr>
        <w:widowControl/>
        <w:autoSpaceDE w:val="0"/>
        <w:autoSpaceDN w:val="0"/>
        <w:adjustRightInd w:val="0"/>
        <w:spacing w:line="360" w:lineRule="auto"/>
        <w:jc w:val="right"/>
        <w:rPr>
          <w:rFonts w:hint="eastAsia" w:ascii="仿宋" w:hAnsi="仿宋" w:eastAsia="仿宋" w:cs="仿宋"/>
          <w:kern w:val="0"/>
          <w:sz w:val="32"/>
          <w:szCs w:val="32"/>
        </w:rPr>
      </w:pPr>
      <w:r>
        <w:rPr>
          <w:rFonts w:hint="eastAsia" w:ascii="仿宋" w:hAnsi="仿宋" w:eastAsia="仿宋" w:cs="仿宋"/>
          <w:kern w:val="0"/>
          <w:sz w:val="32"/>
          <w:szCs w:val="32"/>
        </w:rPr>
        <w:t>2021年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sz w:val="32"/>
          <w:szCs w:val="32"/>
          <w:lang w:eastAsia="zh-CN"/>
        </w:rPr>
      </w:pPr>
      <w:r>
        <w:rPr>
          <w:rFonts w:hint="eastAsia" w:ascii="黑体" w:hAnsi="黑体" w:eastAsia="黑体" w:cs="黑体"/>
          <w:sz w:val="32"/>
          <w:szCs w:val="32"/>
        </w:rPr>
        <w:t>附件3</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赛事疫情防控责任书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u w:val="single"/>
        </w:rPr>
      </w:pPr>
      <w:r>
        <w:rPr>
          <w:rFonts w:hint="eastAsia" w:ascii="仿宋" w:hAnsi="仿宋" w:eastAsia="仿宋" w:cs="仿宋"/>
          <w:sz w:val="32"/>
          <w:szCs w:val="32"/>
        </w:rPr>
        <w:t>为贯彻执行党中央、国务院关于统筹推进新冠肺炎疫情防控和经济社会发展工作的决策部署，全面落实“外防输入、内防反弹”的总体防控策略，扎实细致地执行国家、省、市、区关于疫情防控工作的各项具体规定与要求，围绕审慎、安全、有序开展“全国职工健康促进工程·健康运动”2021年第十届全国行业/企业职工男子篮球赛一事，中国企业体育协会特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rPr>
        <w:t>（单位／球队名称）签订本责任书。内容如下：</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单位／球队名称），为2021年第十届全国行业/企业职工男子篮球赛参赛球队，将严格按照国家和地区疫情防控部门、疾控部门、卫生健康部门、体育部门陆续颁布的规定与要求，落实并执行组委会制定的各项疫情防控要求，做实本队各项疫情防控工作，绝对服从组委会的管理与安排，并且全程积极主动配合组委会，安全有序地将赛事组织实施完毕。</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sz w:val="32"/>
          <w:szCs w:val="32"/>
        </w:rPr>
      </w:pPr>
      <w:r>
        <w:rPr>
          <w:rFonts w:hint="eastAsia" w:ascii="仿宋" w:hAnsi="仿宋" w:eastAsia="仿宋" w:cs="仿宋"/>
          <w:sz w:val="32"/>
          <w:szCs w:val="32"/>
        </w:rPr>
        <w:t>本责任书一式两份，由中国企业体育协会和参赛球队所属单位或参赛球队各留存一份。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——以下无正文，为双方盖章或签字页——</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中国企业体育协会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（盖章）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（盖章或负责人签字）</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2021年  月  日                    2021年  月  日</w:t>
      </w:r>
    </w:p>
    <w:p>
      <w:pPr>
        <w:rPr>
          <w:rFonts w:hint="eastAsia" w:asciiTheme="minorEastAsia" w:hAnsiTheme="minorEastAsia"/>
          <w:sz w:val="32"/>
          <w:szCs w:val="32"/>
        </w:rPr>
      </w:pPr>
      <w:r>
        <w:rPr>
          <w:rFonts w:hint="eastAsia" w:asciiTheme="minorEastAsia" w:hAnsiTheme="minorEastAsia"/>
          <w:sz w:val="32"/>
          <w:szCs w:val="32"/>
        </w:rPr>
        <w:br w:type="page"/>
      </w:r>
    </w:p>
    <w:p>
      <w:pPr>
        <w:spacing w:line="360" w:lineRule="auto"/>
        <w:rPr>
          <w:rFonts w:hint="eastAsia" w:ascii="方正小标宋简体" w:hAnsi="方正小标宋简体" w:eastAsia="方正小标宋简体" w:cs="方正小标宋简体"/>
          <w:b w:val="0"/>
          <w:bCs w:val="0"/>
          <w:kern w:val="0"/>
          <w:sz w:val="36"/>
          <w:szCs w:val="36"/>
        </w:rPr>
      </w:pPr>
      <w:r>
        <w:rPr>
          <w:rFonts w:hint="eastAsia" w:ascii="黑体" w:hAnsi="黑体" w:eastAsia="黑体" w:cs="黑体"/>
          <w:sz w:val="32"/>
          <w:szCs w:val="32"/>
        </w:rPr>
        <w:t>附件4</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kern w:val="0"/>
          <w:sz w:val="36"/>
          <w:szCs w:val="36"/>
        </w:rPr>
        <w:t>“全国职工健康促进工程·健康运动”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2021年第十届全国行业/企业职工男子篮球赛竞赛规程</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sz w:val="32"/>
          <w:szCs w:val="32"/>
        </w:rPr>
      </w:pP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工程组织结构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楷体" w:hAnsi="楷体" w:eastAsia="楷体" w:cs="楷体"/>
          <w:sz w:val="32"/>
          <w:szCs w:val="32"/>
        </w:rPr>
        <w:t>（一）指导单位：</w:t>
      </w:r>
      <w:r>
        <w:rPr>
          <w:rFonts w:hint="eastAsia" w:ascii="仿宋" w:hAnsi="仿宋" w:eastAsia="仿宋" w:cs="仿宋"/>
          <w:sz w:val="32"/>
          <w:szCs w:val="32"/>
        </w:rPr>
        <w:t>中华全国总工会、国家卫生健康委员会、国家体育总局、中华人民共和国文化和旅游部</w:t>
      </w:r>
    </w:p>
    <w:p>
      <w:pPr>
        <w:keepNext w:val="0"/>
        <w:keepLines w:val="0"/>
        <w:pageBreakBefore w:val="0"/>
        <w:wordWrap/>
        <w:topLinePunct w:val="0"/>
        <w:bidi w:val="0"/>
        <w:spacing w:line="560" w:lineRule="exact"/>
        <w:ind w:firstLine="640"/>
        <w:textAlignment w:val="auto"/>
        <w:rPr>
          <w:rFonts w:hint="eastAsia" w:ascii="仿宋" w:hAnsi="仿宋" w:eastAsia="仿宋" w:cs="仿宋"/>
          <w:sz w:val="32"/>
          <w:szCs w:val="32"/>
        </w:rPr>
      </w:pPr>
      <w:r>
        <w:rPr>
          <w:rFonts w:hint="eastAsia" w:ascii="楷体" w:hAnsi="楷体" w:eastAsia="楷体" w:cs="楷体"/>
          <w:sz w:val="32"/>
          <w:szCs w:val="32"/>
        </w:rPr>
        <w:t>（二）牵头落实：</w:t>
      </w:r>
      <w:r>
        <w:rPr>
          <w:rFonts w:hint="eastAsia" w:ascii="仿宋" w:hAnsi="仿宋" w:eastAsia="仿宋" w:cs="仿宋"/>
          <w:sz w:val="32"/>
          <w:szCs w:val="32"/>
        </w:rPr>
        <w:t>全国职工健康促进工程办公室（中国职工国家旅行社总社）</w:t>
      </w:r>
    </w:p>
    <w:p>
      <w:pPr>
        <w:keepNext w:val="0"/>
        <w:keepLines w:val="0"/>
        <w:pageBreakBefore w:val="0"/>
        <w:wordWrap/>
        <w:topLinePunct w:val="0"/>
        <w:bidi w:val="0"/>
        <w:spacing w:line="560" w:lineRule="exact"/>
        <w:ind w:firstLine="640"/>
        <w:textAlignment w:val="auto"/>
        <w:rPr>
          <w:rFonts w:hint="eastAsia" w:ascii="仿宋" w:hAnsi="仿宋" w:eastAsia="仿宋" w:cs="仿宋"/>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三</w:t>
      </w:r>
      <w:r>
        <w:rPr>
          <w:rFonts w:hint="eastAsia" w:ascii="楷体" w:hAnsi="楷体" w:eastAsia="楷体" w:cs="楷体"/>
          <w:sz w:val="32"/>
          <w:szCs w:val="32"/>
        </w:rPr>
        <w:t>）联合参与：</w:t>
      </w:r>
      <w:r>
        <w:rPr>
          <w:rFonts w:hint="eastAsia" w:ascii="仿宋" w:hAnsi="仿宋" w:eastAsia="仿宋" w:cs="仿宋"/>
          <w:sz w:val="32"/>
          <w:szCs w:val="32"/>
        </w:rPr>
        <w:t>中国企业体育协会</w:t>
      </w:r>
    </w:p>
    <w:p>
      <w:pPr>
        <w:keepNext w:val="0"/>
        <w:keepLines w:val="0"/>
        <w:pageBreakBefore w:val="0"/>
        <w:wordWrap/>
        <w:topLinePunct w:val="0"/>
        <w:bidi w:val="0"/>
        <w:spacing w:line="560" w:lineRule="exact"/>
        <w:ind w:firstLine="64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赛事组织结构</w:t>
      </w:r>
    </w:p>
    <w:p>
      <w:pPr>
        <w:keepNext w:val="0"/>
        <w:keepLines w:val="0"/>
        <w:pageBreakBefore w:val="0"/>
        <w:wordWrap/>
        <w:topLinePunct w:val="0"/>
        <w:bidi w:val="0"/>
        <w:spacing w:line="560" w:lineRule="exact"/>
        <w:ind w:firstLine="640"/>
        <w:textAlignment w:val="auto"/>
        <w:rPr>
          <w:rFonts w:hint="eastAsia" w:ascii="仿宋" w:hAnsi="仿宋" w:eastAsia="仿宋" w:cs="仿宋"/>
          <w:sz w:val="32"/>
          <w:szCs w:val="32"/>
        </w:rPr>
      </w:pPr>
      <w:r>
        <w:rPr>
          <w:rFonts w:hint="eastAsia" w:ascii="楷体" w:hAnsi="楷体" w:eastAsia="楷体" w:cs="楷体"/>
          <w:sz w:val="32"/>
          <w:szCs w:val="32"/>
        </w:rPr>
        <w:t>（一）主办单位：</w:t>
      </w:r>
      <w:r>
        <w:rPr>
          <w:rFonts w:hint="eastAsia" w:ascii="仿宋" w:hAnsi="仿宋" w:eastAsia="仿宋" w:cs="仿宋"/>
          <w:sz w:val="32"/>
          <w:szCs w:val="32"/>
        </w:rPr>
        <w:t>中国企业体育协会</w:t>
      </w:r>
    </w:p>
    <w:p>
      <w:pPr>
        <w:keepNext w:val="0"/>
        <w:keepLines w:val="0"/>
        <w:pageBreakBefore w:val="0"/>
        <w:wordWrap/>
        <w:topLinePunct w:val="0"/>
        <w:bidi w:val="0"/>
        <w:spacing w:line="560" w:lineRule="exact"/>
        <w:ind w:firstLine="3200" w:firstLineChars="1000"/>
        <w:textAlignment w:val="auto"/>
        <w:rPr>
          <w:rFonts w:hint="eastAsia" w:ascii="仿宋" w:hAnsi="仿宋" w:eastAsia="仿宋" w:cs="仿宋"/>
          <w:b/>
          <w:sz w:val="32"/>
          <w:szCs w:val="32"/>
        </w:rPr>
      </w:pPr>
      <w:r>
        <w:rPr>
          <w:rFonts w:hint="eastAsia" w:ascii="仿宋" w:hAnsi="仿宋" w:eastAsia="仿宋" w:cs="仿宋"/>
          <w:sz w:val="32"/>
          <w:szCs w:val="32"/>
        </w:rPr>
        <w:t>山东省淄博市张店区人民政府</w:t>
      </w:r>
    </w:p>
    <w:p>
      <w:pPr>
        <w:keepNext w:val="0"/>
        <w:keepLines w:val="0"/>
        <w:pageBreakBefore w:val="0"/>
        <w:wordWrap/>
        <w:topLinePunct w:val="0"/>
        <w:bidi w:val="0"/>
        <w:spacing w:line="560" w:lineRule="exact"/>
        <w:ind w:firstLine="640"/>
        <w:textAlignment w:val="auto"/>
        <w:rPr>
          <w:rFonts w:hint="eastAsia" w:ascii="仿宋" w:hAnsi="仿宋" w:eastAsia="仿宋" w:cs="仿宋"/>
          <w:kern w:val="0"/>
          <w:sz w:val="32"/>
          <w:szCs w:val="32"/>
        </w:rPr>
      </w:pPr>
      <w:r>
        <w:rPr>
          <w:rFonts w:hint="eastAsia" w:ascii="楷体" w:hAnsi="楷体" w:eastAsia="楷体" w:cs="楷体"/>
          <w:sz w:val="32"/>
          <w:szCs w:val="32"/>
        </w:rPr>
        <w:t>（二）承办单位：</w:t>
      </w:r>
      <w:r>
        <w:rPr>
          <w:rFonts w:hint="eastAsia" w:ascii="仿宋" w:hAnsi="仿宋" w:eastAsia="仿宋" w:cs="仿宋"/>
          <w:kern w:val="0"/>
          <w:sz w:val="32"/>
          <w:szCs w:val="32"/>
        </w:rPr>
        <w:t>山东省淄博市张店区教育和体育局</w:t>
      </w:r>
    </w:p>
    <w:p>
      <w:pPr>
        <w:keepNext w:val="0"/>
        <w:keepLines w:val="0"/>
        <w:pageBreakBefore w:val="0"/>
        <w:wordWrap/>
        <w:topLinePunct w:val="0"/>
        <w:bidi w:val="0"/>
        <w:spacing w:line="560" w:lineRule="exact"/>
        <w:ind w:firstLine="3200" w:firstLineChars="1000"/>
        <w:textAlignment w:val="auto"/>
        <w:rPr>
          <w:rFonts w:hint="eastAsia" w:ascii="仿宋" w:hAnsi="仿宋" w:eastAsia="仿宋" w:cs="仿宋"/>
          <w:kern w:val="0"/>
          <w:sz w:val="32"/>
          <w:szCs w:val="32"/>
        </w:rPr>
      </w:pPr>
      <w:r>
        <w:rPr>
          <w:rFonts w:hint="eastAsia" w:ascii="仿宋" w:hAnsi="仿宋" w:eastAsia="仿宋" w:cs="仿宋"/>
          <w:kern w:val="0"/>
          <w:sz w:val="32"/>
          <w:szCs w:val="32"/>
        </w:rPr>
        <w:t>山东省淄博市新区</w:t>
      </w:r>
    </w:p>
    <w:p>
      <w:pPr>
        <w:keepNext w:val="0"/>
        <w:keepLines w:val="0"/>
        <w:pageBreakBefore w:val="0"/>
        <w:wordWrap/>
        <w:topLinePunct w:val="0"/>
        <w:bidi w:val="0"/>
        <w:spacing w:line="560" w:lineRule="exact"/>
        <w:ind w:firstLine="640"/>
        <w:textAlignment w:val="auto"/>
        <w:rPr>
          <w:rFonts w:hint="eastAsia" w:ascii="仿宋" w:hAnsi="仿宋" w:eastAsia="仿宋" w:cs="仿宋"/>
          <w:kern w:val="0"/>
          <w:sz w:val="32"/>
          <w:szCs w:val="32"/>
        </w:rPr>
      </w:pPr>
      <w:r>
        <w:rPr>
          <w:rFonts w:hint="eastAsia" w:ascii="楷体" w:hAnsi="楷体" w:eastAsia="楷体" w:cs="楷体"/>
          <w:kern w:val="0"/>
          <w:sz w:val="32"/>
          <w:szCs w:val="32"/>
        </w:rPr>
        <w:t>（三）统筹运营：</w:t>
      </w:r>
      <w:r>
        <w:rPr>
          <w:rFonts w:hint="eastAsia" w:ascii="仿宋" w:hAnsi="仿宋" w:eastAsia="仿宋" w:cs="仿宋"/>
          <w:kern w:val="0"/>
          <w:sz w:val="32"/>
          <w:szCs w:val="32"/>
        </w:rPr>
        <w:t>中企体育文化发展有限公司</w:t>
      </w:r>
    </w:p>
    <w:p>
      <w:pPr>
        <w:keepNext w:val="0"/>
        <w:keepLines w:val="0"/>
        <w:pageBreakBefore w:val="0"/>
        <w:wordWrap/>
        <w:topLinePunct w:val="0"/>
        <w:bidi w:val="0"/>
        <w:spacing w:line="560" w:lineRule="exact"/>
        <w:ind w:firstLine="640"/>
        <w:textAlignment w:val="auto"/>
        <w:rPr>
          <w:rFonts w:hint="eastAsia" w:ascii="仿宋" w:hAnsi="仿宋" w:eastAsia="仿宋" w:cs="仿宋"/>
          <w:kern w:val="0"/>
          <w:sz w:val="32"/>
          <w:szCs w:val="32"/>
        </w:rPr>
      </w:pPr>
      <w:r>
        <w:rPr>
          <w:rFonts w:hint="eastAsia" w:ascii="楷体" w:hAnsi="楷体" w:eastAsia="楷体" w:cs="楷体"/>
          <w:kern w:val="0"/>
          <w:sz w:val="32"/>
          <w:szCs w:val="32"/>
        </w:rPr>
        <w:t>（四）执行单位：</w:t>
      </w:r>
      <w:r>
        <w:rPr>
          <w:rFonts w:hint="eastAsia" w:ascii="仿宋" w:hAnsi="仿宋" w:eastAsia="仿宋" w:cs="仿宋"/>
          <w:kern w:val="0"/>
          <w:sz w:val="32"/>
          <w:szCs w:val="32"/>
        </w:rPr>
        <w:t>山东齐动体育发展有限公司</w:t>
      </w:r>
    </w:p>
    <w:p>
      <w:pPr>
        <w:keepNext w:val="0"/>
        <w:keepLines w:val="0"/>
        <w:pageBreakBefore w:val="0"/>
        <w:wordWrap/>
        <w:topLinePunct w:val="0"/>
        <w:bidi w:val="0"/>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三、报名规定</w:t>
      </w:r>
    </w:p>
    <w:p>
      <w:pPr>
        <w:keepNext w:val="0"/>
        <w:keepLines w:val="0"/>
        <w:pageBreakBefore w:val="0"/>
        <w:wordWrap/>
        <w:topLinePunct w:val="0"/>
        <w:bidi w:val="0"/>
        <w:spacing w:line="56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（一）</w:t>
      </w:r>
      <w:r>
        <w:rPr>
          <w:rFonts w:hint="eastAsia" w:ascii="仿宋" w:hAnsi="仿宋" w:eastAsia="仿宋" w:cs="仿宋"/>
          <w:sz w:val="32"/>
          <w:szCs w:val="32"/>
        </w:rPr>
        <w:t>各队报名运动员，必须为身体健康，</w:t>
      </w:r>
      <w:r>
        <w:rPr>
          <w:rFonts w:hint="eastAsia" w:ascii="仿宋" w:hAnsi="仿宋" w:eastAsia="仿宋" w:cs="仿宋"/>
          <w:kern w:val="0"/>
          <w:sz w:val="32"/>
          <w:szCs w:val="32"/>
        </w:rPr>
        <w:t>2003年1月1日（含）前出生的在职职工。兼职、派驻、借调人员，以及2019-2021年在CBA、NBL等国内职业篮球俱乐部及梯队或其他国家职业篮球俱乐部及梯队注册的专业篮球运动员，不得以运动员的身份报名参赛。如球队使用不具备参赛资格的人员参加比赛，一经查实，取消全队参赛资格及比赛成绩，所有与对方比赛的比分均为0:20告负。</w:t>
      </w:r>
    </w:p>
    <w:p>
      <w:pPr>
        <w:keepNext w:val="0"/>
        <w:keepLines w:val="0"/>
        <w:pageBreakBefore w:val="0"/>
        <w:kinsoku w:val="0"/>
        <w:wordWrap/>
        <w:overflowPunct w:val="0"/>
        <w:topLinePunct w:val="0"/>
        <w:autoSpaceDE w:val="0"/>
        <w:autoSpaceDN w:val="0"/>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kern w:val="0"/>
          <w:sz w:val="32"/>
          <w:szCs w:val="32"/>
        </w:rPr>
        <w:t>（二）赛事组委会对运动员参赛资格进行审核，审核结果在我会官方网站（www.cesa.org.cn）及官方微信公众号（中企体育）进行公示，公示期为三天（以公示文件首次在官方网站和官方微信公众号刊登之日起计算）。公示期结束后，不再受理运动员资格问题。</w:t>
      </w:r>
    </w:p>
    <w:p>
      <w:pPr>
        <w:keepNext w:val="0"/>
        <w:keepLines w:val="0"/>
        <w:pageBreakBefore w:val="0"/>
        <w:widowControl/>
        <w:wordWrap/>
        <w:topLinePunct w:val="0"/>
        <w:autoSpaceDE w:val="0"/>
        <w:autoSpaceDN w:val="0"/>
        <w:bidi w:val="0"/>
        <w:adjustRightInd w:val="0"/>
        <w:spacing w:line="56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（三）各队报名信息一经提交，未征得组委会同意，不得随意更改。</w:t>
      </w:r>
    </w:p>
    <w:p>
      <w:pPr>
        <w:keepNext w:val="0"/>
        <w:keepLines w:val="0"/>
        <w:pageBreakBefore w:val="0"/>
        <w:widowControl/>
        <w:wordWrap/>
        <w:topLinePunct w:val="0"/>
        <w:autoSpaceDE w:val="0"/>
        <w:autoSpaceDN w:val="0"/>
        <w:bidi w:val="0"/>
        <w:adjustRightInd w:val="0"/>
        <w:spacing w:line="56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（四）各参赛队额外自行购买的保险及可能发生的出险理赔事宜，由各队自理。</w:t>
      </w:r>
    </w:p>
    <w:p>
      <w:pPr>
        <w:keepNext w:val="0"/>
        <w:keepLines w:val="0"/>
        <w:pageBreakBefore w:val="0"/>
        <w:widowControl/>
        <w:wordWrap/>
        <w:topLinePunct w:val="0"/>
        <w:autoSpaceDE w:val="0"/>
        <w:autoSpaceDN w:val="0"/>
        <w:bidi w:val="0"/>
        <w:adjustRightInd w:val="0"/>
        <w:spacing w:line="560" w:lineRule="exact"/>
        <w:ind w:firstLine="640"/>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四、</w:t>
      </w:r>
      <w:r>
        <w:rPr>
          <w:rFonts w:hint="eastAsia" w:ascii="黑体" w:hAnsi="黑体" w:eastAsia="黑体" w:cs="黑体"/>
          <w:b w:val="0"/>
          <w:bCs w:val="0"/>
          <w:sz w:val="32"/>
          <w:szCs w:val="32"/>
        </w:rPr>
        <w:t>竞赛办法</w:t>
      </w:r>
    </w:p>
    <w:p>
      <w:pPr>
        <w:keepNext w:val="0"/>
        <w:keepLines w:val="0"/>
        <w:pageBreakBefore w:val="0"/>
        <w:widowControl/>
        <w:wordWrap/>
        <w:topLinePunct w:val="0"/>
        <w:autoSpaceDE w:val="0"/>
        <w:autoSpaceDN w:val="0"/>
        <w:bidi w:val="0"/>
        <w:adjustRightInd w:val="0"/>
        <w:spacing w:line="56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根据五人制和三人制组别报名情况，比赛分为两个阶段，第一阶段为小组赛，按照抽签分组，采取单循环比赛办法。第二阶段为淘汰赛，根据小组赛阶段排名，进行交叉淘汰赛或交叉排位赛。详细赛程赛制，由组委会根据报名情况决定，另行补充通知。</w:t>
      </w:r>
    </w:p>
    <w:p>
      <w:pPr>
        <w:keepNext w:val="0"/>
        <w:keepLines w:val="0"/>
        <w:pageBreakBefore w:val="0"/>
        <w:kinsoku w:val="0"/>
        <w:wordWrap/>
        <w:overflowPunct w:val="0"/>
        <w:topLinePunct w:val="0"/>
        <w:autoSpaceDE w:val="0"/>
        <w:autoSpaceDN w:val="0"/>
        <w:bidi w:val="0"/>
        <w:spacing w:line="560" w:lineRule="exact"/>
        <w:ind w:firstLine="693"/>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五、竞赛规则</w:t>
      </w:r>
    </w:p>
    <w:p>
      <w:pPr>
        <w:keepNext w:val="0"/>
        <w:keepLines w:val="0"/>
        <w:pageBreakBefore w:val="0"/>
        <w:kinsoku w:val="0"/>
        <w:wordWrap/>
        <w:overflowPunct w:val="0"/>
        <w:topLinePunct w:val="0"/>
        <w:autoSpaceDE w:val="0"/>
        <w:autoSpaceDN w:val="0"/>
        <w:bidi w:val="0"/>
        <w:spacing w:line="560" w:lineRule="exact"/>
        <w:ind w:firstLine="640"/>
        <w:textAlignment w:val="auto"/>
        <w:rPr>
          <w:rFonts w:hint="eastAsia" w:ascii="楷体" w:hAnsi="楷体" w:eastAsia="楷体" w:cs="楷体"/>
          <w:kern w:val="0"/>
          <w:sz w:val="32"/>
          <w:szCs w:val="32"/>
        </w:rPr>
      </w:pPr>
      <w:r>
        <w:rPr>
          <w:rFonts w:hint="eastAsia" w:ascii="楷体" w:hAnsi="楷体" w:eastAsia="楷体" w:cs="楷体"/>
          <w:kern w:val="0"/>
          <w:sz w:val="32"/>
          <w:szCs w:val="32"/>
          <w:lang w:eastAsia="zh-CN"/>
        </w:rPr>
        <w:t>（一）</w:t>
      </w:r>
      <w:r>
        <w:rPr>
          <w:rFonts w:hint="eastAsia" w:ascii="楷体" w:hAnsi="楷体" w:eastAsia="楷体" w:cs="楷体"/>
          <w:kern w:val="0"/>
          <w:sz w:val="32"/>
          <w:szCs w:val="32"/>
        </w:rPr>
        <w:t>五人制组别</w:t>
      </w:r>
    </w:p>
    <w:p>
      <w:pPr>
        <w:keepNext w:val="0"/>
        <w:keepLines w:val="0"/>
        <w:pageBreakBefore w:val="0"/>
        <w:kinsoku w:val="0"/>
        <w:wordWrap/>
        <w:overflowPunct w:val="0"/>
        <w:topLinePunct w:val="0"/>
        <w:autoSpaceDE w:val="0"/>
        <w:autoSpaceDN w:val="0"/>
        <w:bidi w:val="0"/>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小组赛阶段分上下半场各20分钟，中场休息10分钟，比赛下半场最后5分钟犯规停表，其余时间不停表计时；淘汰赛阶段每场比赛分四节进行，每节比赛10分钟，每节之间休息5分钟，上下半场之间休息10分钟，停表计时。</w:t>
      </w:r>
    </w:p>
    <w:p>
      <w:pPr>
        <w:keepNext w:val="0"/>
        <w:keepLines w:val="0"/>
        <w:pageBreakBefore w:val="0"/>
        <w:kinsoku w:val="0"/>
        <w:wordWrap/>
        <w:overflowPunct w:val="0"/>
        <w:topLinePunct w:val="0"/>
        <w:autoSpaceDE w:val="0"/>
        <w:autoSpaceDN w:val="0"/>
        <w:bidi w:val="0"/>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小组赛阶段，若常规时间双方打平，则加赛通过跳球争夺球权，先进球的一方获胜；淘汰赛阶段，若常规时间双方打平，则加时5分钟。</w:t>
      </w:r>
    </w:p>
    <w:p>
      <w:pPr>
        <w:keepNext w:val="0"/>
        <w:keepLines w:val="0"/>
        <w:pageBreakBefore w:val="0"/>
        <w:kinsoku w:val="0"/>
        <w:wordWrap/>
        <w:overflowPunct w:val="0"/>
        <w:topLinePunct w:val="0"/>
        <w:autoSpaceDE w:val="0"/>
        <w:autoSpaceDN w:val="0"/>
        <w:bidi w:val="0"/>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小组赛阶段，胜者得3分，负者得1分，根据积分进行排行，如两队或两队以上积分相同，依次按下列顺序决定名次：</w:t>
      </w:r>
    </w:p>
    <w:p>
      <w:pPr>
        <w:keepNext w:val="0"/>
        <w:keepLines w:val="0"/>
        <w:pageBreakBefore w:val="0"/>
        <w:kinsoku w:val="0"/>
        <w:wordWrap/>
        <w:overflowPunct w:val="0"/>
        <w:topLinePunct w:val="0"/>
        <w:autoSpaceDE w:val="0"/>
        <w:autoSpaceDN w:val="0"/>
        <w:bidi w:val="0"/>
        <w:spacing w:line="56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积分相同队之间相互胜负关系占优者，名次列前</w:t>
      </w:r>
      <w:r>
        <w:rPr>
          <w:rFonts w:hint="eastAsia" w:ascii="仿宋" w:hAnsi="仿宋" w:eastAsia="仿宋" w:cs="仿宋"/>
          <w:kern w:val="0"/>
          <w:sz w:val="32"/>
          <w:szCs w:val="32"/>
          <w:lang w:eastAsia="zh-CN"/>
        </w:rPr>
        <w:t>；</w:t>
      </w:r>
    </w:p>
    <w:p>
      <w:pPr>
        <w:keepNext w:val="0"/>
        <w:keepLines w:val="0"/>
        <w:pageBreakBefore w:val="0"/>
        <w:kinsoku w:val="0"/>
        <w:wordWrap/>
        <w:overflowPunct w:val="0"/>
        <w:topLinePunct w:val="0"/>
        <w:autoSpaceDE w:val="0"/>
        <w:autoSpaceDN w:val="0"/>
        <w:bidi w:val="0"/>
        <w:spacing w:line="56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积分相同队之间净胜分多者，名次列前</w:t>
      </w:r>
      <w:r>
        <w:rPr>
          <w:rFonts w:hint="eastAsia" w:ascii="仿宋" w:hAnsi="仿宋" w:eastAsia="仿宋" w:cs="仿宋"/>
          <w:kern w:val="0"/>
          <w:sz w:val="32"/>
          <w:szCs w:val="32"/>
          <w:lang w:eastAsia="zh-CN"/>
        </w:rPr>
        <w:t>；</w:t>
      </w:r>
    </w:p>
    <w:p>
      <w:pPr>
        <w:keepNext w:val="0"/>
        <w:keepLines w:val="0"/>
        <w:pageBreakBefore w:val="0"/>
        <w:kinsoku w:val="0"/>
        <w:wordWrap/>
        <w:overflowPunct w:val="0"/>
        <w:topLinePunct w:val="0"/>
        <w:autoSpaceDE w:val="0"/>
        <w:autoSpaceDN w:val="0"/>
        <w:bidi w:val="0"/>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积分相同队之间总得分多者，名次列前。</w:t>
      </w:r>
    </w:p>
    <w:p>
      <w:pPr>
        <w:keepNext w:val="0"/>
        <w:keepLines w:val="0"/>
        <w:pageBreakBefore w:val="0"/>
        <w:kinsoku w:val="0"/>
        <w:wordWrap/>
        <w:overflowPunct w:val="0"/>
        <w:topLinePunct w:val="0"/>
        <w:autoSpaceDE w:val="0"/>
        <w:autoSpaceDN w:val="0"/>
        <w:bidi w:val="0"/>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其他</w:t>
      </w:r>
      <w:r>
        <w:rPr>
          <w:rFonts w:hint="eastAsia" w:ascii="仿宋" w:hAnsi="仿宋" w:eastAsia="仿宋" w:cs="仿宋"/>
          <w:sz w:val="32"/>
          <w:szCs w:val="32"/>
        </w:rPr>
        <w:t>执行中国篮球协会审定的最新《篮球竞赛规则》及国际篮联最新解释。</w:t>
      </w:r>
    </w:p>
    <w:p>
      <w:pPr>
        <w:keepNext w:val="0"/>
        <w:keepLines w:val="0"/>
        <w:pageBreakBefore w:val="0"/>
        <w:kinsoku w:val="0"/>
        <w:wordWrap/>
        <w:overflowPunct w:val="0"/>
        <w:topLinePunct w:val="0"/>
        <w:autoSpaceDE w:val="0"/>
        <w:autoSpaceDN w:val="0"/>
        <w:bidi w:val="0"/>
        <w:spacing w:line="560" w:lineRule="exact"/>
        <w:ind w:firstLine="640"/>
        <w:textAlignment w:val="auto"/>
        <w:rPr>
          <w:rFonts w:hint="eastAsia" w:ascii="楷体" w:hAnsi="楷体" w:eastAsia="楷体" w:cs="楷体"/>
          <w:kern w:val="0"/>
          <w:sz w:val="32"/>
          <w:szCs w:val="32"/>
        </w:rPr>
      </w:pPr>
      <w:r>
        <w:rPr>
          <w:rFonts w:hint="eastAsia" w:ascii="楷体" w:hAnsi="楷体" w:eastAsia="楷体" w:cs="楷体"/>
          <w:kern w:val="0"/>
          <w:sz w:val="32"/>
          <w:szCs w:val="32"/>
          <w:lang w:eastAsia="zh-CN"/>
        </w:rPr>
        <w:t>（二）</w:t>
      </w:r>
      <w:r>
        <w:rPr>
          <w:rFonts w:hint="eastAsia" w:ascii="楷体" w:hAnsi="楷体" w:eastAsia="楷体" w:cs="楷体"/>
          <w:kern w:val="0"/>
          <w:sz w:val="32"/>
          <w:szCs w:val="32"/>
        </w:rPr>
        <w:t>三人制组别</w:t>
      </w:r>
    </w:p>
    <w:p>
      <w:pPr>
        <w:keepNext w:val="0"/>
        <w:keepLines w:val="0"/>
        <w:pageBreakBefore w:val="0"/>
        <w:kinsoku w:val="0"/>
        <w:wordWrap/>
        <w:overflowPunct w:val="0"/>
        <w:topLinePunct w:val="0"/>
        <w:autoSpaceDE w:val="0"/>
        <w:autoSpaceDN w:val="0"/>
        <w:bidi w:val="0"/>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小组赛阶段，常规比赛时间为10分钟，15分制；淘汰赛阶段，常规比赛时间为15分钟，21分制。</w:t>
      </w:r>
    </w:p>
    <w:p>
      <w:pPr>
        <w:keepNext w:val="0"/>
        <w:keepLines w:val="0"/>
        <w:pageBreakBefore w:val="0"/>
        <w:kinsoku w:val="0"/>
        <w:wordWrap/>
        <w:overflowPunct w:val="0"/>
        <w:topLinePunct w:val="0"/>
        <w:autoSpaceDE w:val="0"/>
        <w:autoSpaceDN w:val="0"/>
        <w:bidi w:val="0"/>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常规比赛时间结束之前，率先得到相应分值的一方获胜；若常规比赛时间内，双方都未得到相应分值，则比分更高的一方获胜；若常规比赛时间内，双方比分相同，则应进行决胜期比赛，决胜期开始前，双方有1分钟的休息时间，决胜期中率先取得2</w:t>
      </w:r>
      <w:r>
        <w:rPr>
          <w:rFonts w:hint="eastAsia" w:ascii="仿宋" w:hAnsi="仿宋" w:eastAsia="仿宋" w:cs="仿宋"/>
          <w:kern w:val="0"/>
          <w:sz w:val="32"/>
          <w:szCs w:val="32"/>
          <w:lang w:eastAsia="zh-CN"/>
        </w:rPr>
        <w:t>分</w:t>
      </w:r>
      <w:r>
        <w:rPr>
          <w:rFonts w:hint="eastAsia" w:ascii="仿宋" w:hAnsi="仿宋" w:eastAsia="仿宋" w:cs="仿宋"/>
          <w:kern w:val="0"/>
          <w:sz w:val="32"/>
          <w:szCs w:val="32"/>
        </w:rPr>
        <w:t>的球队获胜。</w:t>
      </w:r>
    </w:p>
    <w:p>
      <w:pPr>
        <w:keepNext w:val="0"/>
        <w:keepLines w:val="0"/>
        <w:pageBreakBefore w:val="0"/>
        <w:kinsoku w:val="0"/>
        <w:wordWrap/>
        <w:overflowPunct w:val="0"/>
        <w:topLinePunct w:val="0"/>
        <w:autoSpaceDE w:val="0"/>
        <w:autoSpaceDN w:val="0"/>
        <w:bidi w:val="0"/>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小组赛阶段，胜者得3分，负者得1分，根据积分进行排行，如两队或两队以上积分相同，依次按下列顺序决定名次：</w:t>
      </w:r>
    </w:p>
    <w:p>
      <w:pPr>
        <w:keepNext w:val="0"/>
        <w:keepLines w:val="0"/>
        <w:pageBreakBefore w:val="0"/>
        <w:kinsoku w:val="0"/>
        <w:wordWrap/>
        <w:overflowPunct w:val="0"/>
        <w:topLinePunct w:val="0"/>
        <w:autoSpaceDE w:val="0"/>
        <w:autoSpaceDN w:val="0"/>
        <w:bidi w:val="0"/>
        <w:spacing w:line="56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积分相同队之间相互胜负关系占优者，名次列前</w:t>
      </w:r>
      <w:r>
        <w:rPr>
          <w:rFonts w:hint="eastAsia" w:ascii="仿宋" w:hAnsi="仿宋" w:eastAsia="仿宋" w:cs="仿宋"/>
          <w:kern w:val="0"/>
          <w:sz w:val="32"/>
          <w:szCs w:val="32"/>
          <w:lang w:eastAsia="zh-CN"/>
        </w:rPr>
        <w:t>；</w:t>
      </w:r>
    </w:p>
    <w:p>
      <w:pPr>
        <w:keepNext w:val="0"/>
        <w:keepLines w:val="0"/>
        <w:pageBreakBefore w:val="0"/>
        <w:kinsoku w:val="0"/>
        <w:wordWrap/>
        <w:overflowPunct w:val="0"/>
        <w:topLinePunct w:val="0"/>
        <w:autoSpaceDE w:val="0"/>
        <w:autoSpaceDN w:val="0"/>
        <w:bidi w:val="0"/>
        <w:spacing w:line="56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积分相同队之间净胜分多者，名次列前</w:t>
      </w:r>
      <w:r>
        <w:rPr>
          <w:rFonts w:hint="eastAsia" w:ascii="仿宋" w:hAnsi="仿宋" w:eastAsia="仿宋" w:cs="仿宋"/>
          <w:kern w:val="0"/>
          <w:sz w:val="32"/>
          <w:szCs w:val="32"/>
          <w:lang w:eastAsia="zh-CN"/>
        </w:rPr>
        <w:t>；</w:t>
      </w:r>
    </w:p>
    <w:p>
      <w:pPr>
        <w:keepNext w:val="0"/>
        <w:keepLines w:val="0"/>
        <w:pageBreakBefore w:val="0"/>
        <w:kinsoku w:val="0"/>
        <w:wordWrap/>
        <w:overflowPunct w:val="0"/>
        <w:topLinePunct w:val="0"/>
        <w:autoSpaceDE w:val="0"/>
        <w:autoSpaceDN w:val="0"/>
        <w:bidi w:val="0"/>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积分相同队之间总得分多者，名次列前。</w:t>
      </w:r>
    </w:p>
    <w:p>
      <w:pPr>
        <w:keepNext w:val="0"/>
        <w:keepLines w:val="0"/>
        <w:pageBreakBefore w:val="0"/>
        <w:kinsoku w:val="0"/>
        <w:wordWrap/>
        <w:overflowPunct w:val="0"/>
        <w:topLinePunct w:val="0"/>
        <w:autoSpaceDE w:val="0"/>
        <w:autoSpaceDN w:val="0"/>
        <w:bidi w:val="0"/>
        <w:spacing w:line="560" w:lineRule="exact"/>
        <w:ind w:firstLine="8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其他</w:t>
      </w:r>
      <w:r>
        <w:rPr>
          <w:rFonts w:hint="eastAsia" w:ascii="仿宋" w:hAnsi="仿宋" w:eastAsia="仿宋" w:cs="仿宋"/>
          <w:sz w:val="32"/>
          <w:szCs w:val="32"/>
        </w:rPr>
        <w:t>执行中国篮球协会审定的最新《篮球竞赛规则》及国际篮联最新解释。</w:t>
      </w:r>
    </w:p>
    <w:p>
      <w:pPr>
        <w:keepNext w:val="0"/>
        <w:keepLines w:val="0"/>
        <w:pageBreakBefore w:val="0"/>
        <w:wordWrap/>
        <w:topLinePunct w:val="0"/>
        <w:bidi w:val="0"/>
        <w:spacing w:line="560" w:lineRule="exact"/>
        <w:ind w:firstLine="693"/>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六、比赛服装</w:t>
      </w:r>
    </w:p>
    <w:p>
      <w:pPr>
        <w:keepNext w:val="0"/>
        <w:keepLines w:val="0"/>
        <w:pageBreakBefore w:val="0"/>
        <w:wordWrap/>
        <w:topLinePunct w:val="0"/>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每队须自备两种不同颜色（一深一浅）、号码清晰的比赛服装，并严格按照中国篮球协会审定的最新《篮球竞赛规则》中的有关规定执行。赛前领队联席会上，组委会对各队比赛服装进行检查，不合格者须改正后方允许参赛。</w:t>
      </w:r>
    </w:p>
    <w:p>
      <w:pPr>
        <w:keepNext w:val="0"/>
        <w:keepLines w:val="0"/>
        <w:pageBreakBefore w:val="0"/>
        <w:wordWrap/>
        <w:topLinePunct w:val="0"/>
        <w:bidi w:val="0"/>
        <w:spacing w:line="560" w:lineRule="exact"/>
        <w:ind w:firstLine="693"/>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七、名次和奖励</w:t>
      </w:r>
    </w:p>
    <w:p>
      <w:pPr>
        <w:keepNext w:val="0"/>
        <w:keepLines w:val="0"/>
        <w:pageBreakBefore w:val="0"/>
        <w:wordWrap/>
        <w:topLinePunct w:val="0"/>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（一）两个竞赛项目，分别录取前4名球队，颁发奖杯、奖牌。</w:t>
      </w:r>
    </w:p>
    <w:p>
      <w:pPr>
        <w:keepNext w:val="0"/>
        <w:keepLines w:val="0"/>
        <w:pageBreakBefore w:val="0"/>
        <w:wordWrap/>
        <w:topLinePunct w:val="0"/>
        <w:bidi w:val="0"/>
        <w:spacing w:line="560" w:lineRule="exact"/>
        <w:ind w:firstLine="640"/>
        <w:textAlignment w:val="auto"/>
        <w:rPr>
          <w:rFonts w:hint="eastAsia" w:ascii="仿宋" w:hAnsi="仿宋" w:eastAsia="仿宋" w:cs="仿宋"/>
          <w:b/>
          <w:bCs/>
          <w:sz w:val="32"/>
          <w:szCs w:val="32"/>
        </w:rPr>
      </w:pPr>
      <w:r>
        <w:rPr>
          <w:rFonts w:hint="eastAsia" w:ascii="仿宋" w:hAnsi="仿宋" w:eastAsia="仿宋" w:cs="仿宋"/>
          <w:sz w:val="32"/>
          <w:szCs w:val="32"/>
        </w:rPr>
        <w:t>（二）其余名次球队获得纪念证书。</w:t>
      </w:r>
    </w:p>
    <w:p>
      <w:pPr>
        <w:keepNext w:val="0"/>
        <w:keepLines w:val="0"/>
        <w:pageBreakBefore w:val="0"/>
        <w:wordWrap/>
        <w:topLinePunct w:val="0"/>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（三）设立“体育道德风尚奖”，奖励赛风赛纪优秀的球队。</w:t>
      </w:r>
    </w:p>
    <w:p>
      <w:pPr>
        <w:keepNext w:val="0"/>
        <w:keepLines w:val="0"/>
        <w:pageBreakBefore w:val="0"/>
        <w:wordWrap/>
        <w:topLinePunct w:val="0"/>
        <w:bidi w:val="0"/>
        <w:spacing w:line="560" w:lineRule="exact"/>
        <w:ind w:firstLine="693"/>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八、比赛官员</w:t>
      </w:r>
    </w:p>
    <w:p>
      <w:pPr>
        <w:keepNext w:val="0"/>
        <w:keepLines w:val="0"/>
        <w:pageBreakBefore w:val="0"/>
        <w:wordWrap/>
        <w:topLinePunct w:val="0"/>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（一）比赛监督由赛事组委会选派，代表赛事组委会按照《比赛监督管理办法》对比赛进行监督、指导和评定，比赛监督向赛事组委会负责。</w:t>
      </w:r>
    </w:p>
    <w:p>
      <w:pPr>
        <w:keepNext w:val="0"/>
        <w:keepLines w:val="0"/>
        <w:pageBreakBefore w:val="0"/>
        <w:wordWrap/>
        <w:topLinePunct w:val="0"/>
        <w:bidi w:val="0"/>
        <w:spacing w:line="560" w:lineRule="exact"/>
        <w:ind w:firstLine="640"/>
        <w:textAlignment w:val="auto"/>
        <w:outlineLvl w:val="0"/>
        <w:rPr>
          <w:rFonts w:hint="eastAsia" w:ascii="仿宋" w:hAnsi="仿宋" w:eastAsia="仿宋" w:cs="仿宋"/>
          <w:sz w:val="32"/>
          <w:szCs w:val="32"/>
        </w:rPr>
      </w:pPr>
      <w:r>
        <w:rPr>
          <w:rFonts w:hint="eastAsia" w:ascii="仿宋" w:hAnsi="仿宋" w:eastAsia="仿宋" w:cs="仿宋"/>
          <w:sz w:val="32"/>
          <w:szCs w:val="32"/>
        </w:rPr>
        <w:t>（二）裁判长、技术代表、裁判员由赛事组委会裁判委员会选派。</w:t>
      </w:r>
    </w:p>
    <w:p>
      <w:pPr>
        <w:keepNext w:val="0"/>
        <w:keepLines w:val="0"/>
        <w:pageBreakBefore w:val="0"/>
        <w:kinsoku w:val="0"/>
        <w:wordWrap/>
        <w:overflowPunct w:val="0"/>
        <w:topLinePunct w:val="0"/>
        <w:autoSpaceDE w:val="0"/>
        <w:autoSpaceDN w:val="0"/>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（三）裁判员参加本届比赛工作，必须遵守中国篮球协会裁判委员会、赛事组委会裁判委员会的各项规定。</w:t>
      </w:r>
    </w:p>
    <w:p>
      <w:pPr>
        <w:keepNext w:val="0"/>
        <w:keepLines w:val="0"/>
        <w:pageBreakBefore w:val="0"/>
        <w:wordWrap/>
        <w:topLinePunct w:val="0"/>
        <w:bidi w:val="0"/>
        <w:spacing w:line="560" w:lineRule="exact"/>
        <w:ind w:firstLine="693"/>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九、纪律与仲裁</w:t>
      </w:r>
    </w:p>
    <w:p>
      <w:pPr>
        <w:keepNext w:val="0"/>
        <w:keepLines w:val="0"/>
        <w:pageBreakBefore w:val="0"/>
        <w:wordWrap/>
        <w:topLinePunct w:val="0"/>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（一）比赛中出现的违规违纪行为和事件，根据比赛监督、裁判监督和裁判员的书面报告等材料，由赛事组委会纪律委员会根据中国篮球协会的相关规定进行处理。</w:t>
      </w:r>
    </w:p>
    <w:p>
      <w:pPr>
        <w:keepNext w:val="0"/>
        <w:keepLines w:val="0"/>
        <w:pageBreakBefore w:val="0"/>
        <w:wordWrap/>
        <w:topLinePunct w:val="0"/>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二）比赛严禁球场暴力，一旦出现，赛事组委会纪律委员会将根据中国篮球协会的相关规定进行严肃处理，方式包括但不限于剥夺个人和／或球队继续参加2021年第十届全国行业/企业职工男子篮球赛事的资格；取消个人和／或球队成绩；剥夺个人和／或球队未来参加全国行业/企业职工男子篮球赛的资格；罚款；通报所属单位有关部门、由所属单位追加处罚；通报各行业体育协会，各有关省、自治区、市体育管理部门；直接现场移交公安、司法部门处理；提起民事或刑事诉讼等。</w:t>
      </w:r>
    </w:p>
    <w:p>
      <w:pPr>
        <w:keepNext w:val="0"/>
        <w:keepLines w:val="0"/>
        <w:pageBreakBefore w:val="0"/>
        <w:wordWrap/>
        <w:topLinePunct w:val="0"/>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三）无论出于任何情况，教练员、运动员在场上不服裁判判决的，在裁判员宣布继续比赛后，仍不恢复比赛，致使比赛中断超过5分钟的，即判为罢赛，临场裁判有权判对方获胜。情节严重的，对罢赛队给予纪律处罚，并视情节严重，对违纪的教练员、运动员进行停赛1-3场比赛的处罚。</w:t>
      </w:r>
    </w:p>
    <w:p>
      <w:pPr>
        <w:keepNext w:val="0"/>
        <w:keepLines w:val="0"/>
        <w:pageBreakBefore w:val="0"/>
        <w:wordWrap/>
        <w:topLinePunct w:val="0"/>
        <w:bidi w:val="0"/>
        <w:spacing w:line="560" w:lineRule="exact"/>
        <w:ind w:firstLine="693"/>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十、应急措施</w:t>
      </w:r>
    </w:p>
    <w:p>
      <w:pPr>
        <w:keepNext w:val="0"/>
        <w:keepLines w:val="0"/>
        <w:pageBreakBefore w:val="0"/>
        <w:widowControl/>
        <w:wordWrap/>
        <w:topLinePunct w:val="0"/>
        <w:autoSpaceDE w:val="0"/>
        <w:autoSpaceDN w:val="0"/>
        <w:bidi w:val="0"/>
        <w:adjustRightIn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如果由于天气或其它不可抗力原因，导致比赛无法按时进行，组委会及时做出应对方法并通知参赛队伍领队。若比赛开始后，由于天气或其它不可抗力原因，导致比赛无法继续进行，当值裁判组可中止比赛，记下当时比分和比赛用时，择时续赛。</w:t>
      </w:r>
    </w:p>
    <w:p>
      <w:pPr>
        <w:keepNext w:val="0"/>
        <w:keepLines w:val="0"/>
        <w:pageBreakBefore w:val="0"/>
        <w:wordWrap/>
        <w:topLinePunct w:val="0"/>
        <w:bidi w:val="0"/>
        <w:spacing w:line="560" w:lineRule="exact"/>
        <w:ind w:firstLine="693"/>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十一、其他事项</w:t>
      </w:r>
    </w:p>
    <w:p>
      <w:pPr>
        <w:keepNext w:val="0"/>
        <w:keepLines w:val="0"/>
        <w:pageBreakBefore w:val="0"/>
        <w:wordWrap/>
        <w:topLinePunct w:val="0"/>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本规程解释权、修改权属于中国企业体育协会。未尽事宜，另行通知。</w:t>
      </w:r>
    </w:p>
    <w:p>
      <w:pPr>
        <w:keepNext w:val="0"/>
        <w:keepLines w:val="0"/>
        <w:pageBreakBefore w:val="0"/>
        <w:wordWrap/>
        <w:topLinePunct w:val="0"/>
        <w:bidi w:val="0"/>
        <w:adjustRightInd w:val="0"/>
        <w:snapToGrid w:val="0"/>
        <w:spacing w:line="560" w:lineRule="exact"/>
        <w:ind w:firstLine="640"/>
        <w:jc w:val="center"/>
        <w:textAlignment w:val="auto"/>
        <w:rPr>
          <w:rFonts w:hint="eastAsia" w:ascii="仿宋" w:hAnsi="仿宋" w:eastAsia="仿宋" w:cs="仿宋"/>
          <w:sz w:val="32"/>
          <w:szCs w:val="32"/>
          <w:lang w:eastAsia="zh-CN"/>
        </w:rPr>
      </w:pPr>
    </w:p>
    <w:p>
      <w:pPr>
        <w:keepNext w:val="0"/>
        <w:keepLines w:val="0"/>
        <w:pageBreakBefore w:val="0"/>
        <w:wordWrap/>
        <w:topLinePunct w:val="0"/>
        <w:bidi w:val="0"/>
        <w:adjustRightInd w:val="0"/>
        <w:snapToGrid w:val="0"/>
        <w:spacing w:line="560" w:lineRule="exact"/>
        <w:ind w:firstLine="640"/>
        <w:jc w:val="center"/>
        <w:textAlignment w:val="auto"/>
        <w:rPr>
          <w:rFonts w:hint="eastAsia" w:ascii="仿宋" w:hAnsi="仿宋" w:eastAsia="仿宋" w:cs="仿宋"/>
          <w:sz w:val="32"/>
          <w:szCs w:val="32"/>
          <w:lang w:eastAsia="zh-CN"/>
        </w:rPr>
      </w:pPr>
    </w:p>
    <w:p>
      <w:pPr>
        <w:keepNext w:val="0"/>
        <w:keepLines w:val="0"/>
        <w:pageBreakBefore w:val="0"/>
        <w:wordWrap/>
        <w:topLinePunct w:val="0"/>
        <w:bidi w:val="0"/>
        <w:adjustRightInd w:val="0"/>
        <w:snapToGrid w:val="0"/>
        <w:spacing w:line="560" w:lineRule="exact"/>
        <w:ind w:firstLine="640"/>
        <w:jc w:val="center"/>
        <w:textAlignment w:val="auto"/>
        <w:rPr>
          <w:rFonts w:hint="eastAsia" w:ascii="仿宋" w:hAnsi="仿宋" w:eastAsia="仿宋" w:cs="仿宋"/>
          <w:sz w:val="32"/>
          <w:szCs w:val="32"/>
          <w:lang w:eastAsia="zh-CN"/>
        </w:rPr>
      </w:pPr>
    </w:p>
    <w:p>
      <w:pPr>
        <w:keepNext w:val="0"/>
        <w:keepLines w:val="0"/>
        <w:pageBreakBefore w:val="0"/>
        <w:wordWrap/>
        <w:topLinePunct w:val="0"/>
        <w:bidi w:val="0"/>
        <w:adjustRightInd w:val="0"/>
        <w:snapToGrid w:val="0"/>
        <w:spacing w:line="560" w:lineRule="exact"/>
        <w:ind w:firstLine="640"/>
        <w:jc w:val="center"/>
        <w:textAlignment w:val="auto"/>
        <w:rPr>
          <w:rFonts w:hint="eastAsia" w:ascii="仿宋" w:hAnsi="仿宋" w:eastAsia="仿宋" w:cs="仿宋"/>
          <w:sz w:val="32"/>
          <w:szCs w:val="32"/>
          <w:lang w:eastAsia="zh-CN"/>
        </w:rPr>
      </w:pPr>
    </w:p>
    <w:p>
      <w:pPr>
        <w:keepNext w:val="0"/>
        <w:keepLines w:val="0"/>
        <w:pageBreakBefore w:val="0"/>
        <w:wordWrap/>
        <w:topLinePunct w:val="0"/>
        <w:bidi w:val="0"/>
        <w:adjustRightInd w:val="0"/>
        <w:snapToGrid w:val="0"/>
        <w:spacing w:line="560" w:lineRule="exact"/>
        <w:ind w:firstLine="640"/>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中国企业体育协会</w:t>
      </w:r>
    </w:p>
    <w:p>
      <w:pPr>
        <w:keepNext w:val="0"/>
        <w:keepLines w:val="0"/>
        <w:pageBreakBefore w:val="0"/>
        <w:wordWrap/>
        <w:topLinePunct w:val="0"/>
        <w:bidi w:val="0"/>
        <w:adjustRightInd w:val="0"/>
        <w:snapToGrid w:val="0"/>
        <w:spacing w:line="560" w:lineRule="exact"/>
        <w:ind w:firstLine="64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2021年6月</w:t>
      </w:r>
    </w:p>
    <w:p>
      <w:pPr>
        <w:keepNext w:val="0"/>
        <w:keepLines w:val="0"/>
        <w:pageBreakBefore w:val="0"/>
        <w:wordWrap/>
        <w:topLinePunct w:val="0"/>
        <w:bidi w:val="0"/>
        <w:adjustRightInd w:val="0"/>
        <w:snapToGrid w:val="0"/>
        <w:spacing w:line="560" w:lineRule="exact"/>
        <w:ind w:firstLine="640"/>
        <w:jc w:val="center"/>
        <w:textAlignment w:val="auto"/>
        <w:rPr>
          <w:rFonts w:hint="eastAsia" w:ascii="仿宋" w:hAnsi="仿宋" w:eastAsia="仿宋" w:cs="仿宋"/>
          <w:sz w:val="32"/>
          <w:szCs w:val="32"/>
        </w:rPr>
      </w:pPr>
    </w:p>
    <w:p>
      <w:pPr>
        <w:keepNext w:val="0"/>
        <w:keepLines w:val="0"/>
        <w:pageBreakBefore w:val="0"/>
        <w:wordWrap/>
        <w:topLinePunct w:val="0"/>
        <w:bidi w:val="0"/>
        <w:adjustRightInd w:val="0"/>
        <w:snapToGrid w:val="0"/>
        <w:spacing w:line="560" w:lineRule="exact"/>
        <w:ind w:firstLine="640"/>
        <w:textAlignment w:val="auto"/>
        <w:rPr>
          <w:rFonts w:hint="eastAsia" w:ascii="仿宋" w:hAnsi="仿宋" w:eastAsia="仿宋" w:cs="仿宋"/>
          <w:sz w:val="32"/>
          <w:szCs w:val="32"/>
        </w:rPr>
      </w:pPr>
    </w:p>
    <w:p>
      <w:pPr>
        <w:keepNext w:val="0"/>
        <w:keepLines w:val="0"/>
        <w:pageBreakBefore w:val="0"/>
        <w:wordWrap/>
        <w:topLinePunct w:val="0"/>
        <w:bidi w:val="0"/>
        <w:adjustRightInd w:val="0"/>
        <w:snapToGrid w:val="0"/>
        <w:spacing w:line="560" w:lineRule="exact"/>
        <w:ind w:firstLine="640"/>
        <w:textAlignment w:val="auto"/>
        <w:rPr>
          <w:rFonts w:hint="eastAsia" w:ascii="仿宋" w:hAnsi="仿宋" w:eastAsia="仿宋" w:cs="仿宋"/>
          <w:sz w:val="32"/>
          <w:szCs w:val="32"/>
        </w:rPr>
      </w:pPr>
    </w:p>
    <w:p>
      <w:pPr>
        <w:keepNext w:val="0"/>
        <w:keepLines w:val="0"/>
        <w:pageBreakBefore w:val="0"/>
        <w:wordWrap/>
        <w:topLinePunct w:val="0"/>
        <w:bidi w:val="0"/>
        <w:adjustRightInd w:val="0"/>
        <w:snapToGrid w:val="0"/>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hint="eastAsia" w:asciiTheme="minorEastAsia" w:hAnsiTheme="minorEastAsia"/>
          <w:sz w:val="32"/>
          <w:szCs w:val="32"/>
        </w:rPr>
      </w:pPr>
      <w:r>
        <w:rPr>
          <w:rFonts w:hint="eastAsia" w:asciiTheme="minorEastAsia" w:hAnsiTheme="minorEastAsia"/>
          <w:sz w:val="32"/>
          <w:szCs w:val="32"/>
        </w:rPr>
        <w:br w:type="page"/>
      </w:r>
    </w:p>
    <w:p>
      <w:pPr>
        <w:spacing w:line="360" w:lineRule="auto"/>
        <w:rPr>
          <w:rFonts w:hint="eastAsia" w:ascii="黑体" w:hAnsi="黑体" w:eastAsia="黑体" w:cs="黑体"/>
          <w:sz w:val="32"/>
          <w:szCs w:val="32"/>
          <w:lang w:eastAsia="zh-CN"/>
        </w:rPr>
      </w:pPr>
      <w:r>
        <w:rPr>
          <w:rFonts w:hint="eastAsia" w:ascii="黑体" w:hAnsi="黑体" w:eastAsia="黑体" w:cs="黑体"/>
          <w:sz w:val="32"/>
          <w:szCs w:val="32"/>
        </w:rPr>
        <w:t>附件5</w:t>
      </w:r>
      <w:r>
        <w:rPr>
          <w:rFonts w:hint="eastAsia" w:ascii="黑体" w:hAnsi="黑体" w:eastAsia="黑体" w:cs="黑体"/>
          <w:sz w:val="32"/>
          <w:szCs w:val="32"/>
          <w:lang w:eastAsia="zh-CN"/>
        </w:rPr>
        <w:t>：</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sz w:val="36"/>
          <w:szCs w:val="36"/>
        </w:rPr>
      </w:pPr>
      <w:bookmarkStart w:id="0" w:name="_Toc43660823"/>
      <w:bookmarkStart w:id="1" w:name="_Toc40439509"/>
      <w:bookmarkStart w:id="2" w:name="_Toc40439841"/>
      <w:r>
        <w:rPr>
          <w:rFonts w:hint="eastAsia" w:ascii="方正小标宋简体" w:hAnsi="方正小标宋简体" w:eastAsia="方正小标宋简体" w:cs="方正小标宋简体"/>
          <w:b w:val="0"/>
          <w:bCs/>
          <w:sz w:val="36"/>
          <w:szCs w:val="36"/>
        </w:rPr>
        <w:t>“全国职工健康促进工程·健康运动”</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2021年第十届全国行业/企业职工男子篮球赛</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新冠肺炎疫情防控工作方案</w:t>
      </w:r>
    </w:p>
    <w:p>
      <w:pPr>
        <w:pStyle w:val="9"/>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华文仿宋" w:hAnsi="华文仿宋" w:eastAsia="华文仿宋"/>
          <w:sz w:val="32"/>
          <w:szCs w:val="32"/>
        </w:rPr>
      </w:pP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贯彻执行党中央、国务院关于统筹推进疫情防控和经济社会发展工作的决策部署，全面落实“外防输入、内防反弹”的总体防控策略，在严格执行国务院联防联控机制《关于做好新冠肺炎疫情常态化防控工作的指导意见》的基础上，根据《体育总局统筹推进新冠肺炎疫情防控与体育工作领导小组关于有序恢复体育赛事活动的指导意见》及相关规定，参照《世界卫生组织关于新冠肺炎疫情期间体育联合会/赛事组织方举办大型聚集性体育活动指南》（临时指导文件），特制定本方案（以下简称“本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做好新冠病毒的疫情防控工作，是“全国职工健康促进工程·健康运动”2021年第十届全国行业/企业职工男子篮球赛组织实施工作的重中之重。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本方案根据比赛的赛程赛制和相关特点，进行制定，旨在加强并做实赛事所需的各项防疫组织工作，提升赛事疫情风险应对和治理水平，确保赛事审慎、安全、有序地组织实施。</w:t>
      </w:r>
    </w:p>
    <w:p>
      <w:pPr>
        <w:rPr>
          <w:rFonts w:hint="eastAsia" w:ascii="宋体" w:hAnsi="宋体" w:eastAsia="宋体" w:cs="宋体"/>
          <w:b/>
          <w:sz w:val="44"/>
          <w:szCs w:val="44"/>
        </w:rPr>
      </w:pPr>
      <w:r>
        <w:rPr>
          <w:rFonts w:hint="eastAsia" w:ascii="宋体" w:hAnsi="宋体" w:eastAsia="宋体" w:cs="宋体"/>
          <w:b/>
          <w:sz w:val="44"/>
          <w:szCs w:val="44"/>
        </w:rPr>
        <w:br w:type="page"/>
      </w:r>
    </w:p>
    <w:p>
      <w:pPr>
        <w:jc w:val="center"/>
        <w:rPr>
          <w:rFonts w:hint="eastAsia" w:ascii="黑体" w:hAnsi="黑体" w:eastAsia="黑体" w:cs="黑体"/>
          <w:b w:val="0"/>
          <w:bCs/>
          <w:sz w:val="44"/>
          <w:szCs w:val="44"/>
        </w:rPr>
      </w:pPr>
      <w:r>
        <w:rPr>
          <w:rFonts w:hint="eastAsia" w:ascii="黑体" w:hAnsi="黑体" w:eastAsia="黑体" w:cs="黑体"/>
          <w:b w:val="0"/>
          <w:bCs/>
          <w:sz w:val="44"/>
          <w:szCs w:val="44"/>
        </w:rPr>
        <w:t xml:space="preserve">目 </w:t>
      </w:r>
      <w:r>
        <w:rPr>
          <w:rFonts w:hint="eastAsia" w:ascii="黑体" w:hAnsi="黑体" w:eastAsia="黑体" w:cs="黑体"/>
          <w:b w:val="0"/>
          <w:bCs/>
          <w:sz w:val="44"/>
          <w:szCs w:val="44"/>
          <w:lang w:val="en-US" w:eastAsia="zh-CN"/>
        </w:rPr>
        <w:t xml:space="preserve"> </w:t>
      </w:r>
      <w:r>
        <w:rPr>
          <w:rFonts w:hint="eastAsia" w:ascii="黑体" w:hAnsi="黑体" w:eastAsia="黑体" w:cs="黑体"/>
          <w:b w:val="0"/>
          <w:bCs/>
          <w:sz w:val="44"/>
          <w:szCs w:val="44"/>
        </w:rPr>
        <w:t xml:space="preserve"> 录</w:t>
      </w:r>
    </w:p>
    <w:p>
      <w:pPr>
        <w:ind w:firstLine="720" w:firstLineChars="200"/>
        <w:jc w:val="center"/>
        <w:rPr>
          <w:rFonts w:ascii="宋体" w:hAnsi="宋体" w:eastAsia="宋体" w:cs="宋体"/>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firstLine="640" w:firstLineChars="200"/>
        <w:jc w:val="left"/>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eastAsia="zh-CN"/>
        </w:rPr>
        <w:t>第一章</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疫情防控组织机构</w:t>
      </w:r>
      <w:r>
        <w:rPr>
          <w:rFonts w:hint="eastAsia" w:ascii="仿宋" w:hAnsi="仿宋" w:eastAsia="仿宋" w:cs="仿宋"/>
          <w:b w:val="0"/>
          <w:bCs/>
          <w:sz w:val="32"/>
          <w:szCs w:val="32"/>
          <w:lang w:val="en-US" w:eastAsia="zh-CN"/>
        </w:rPr>
        <w:t>·······················22</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firstLine="640" w:firstLineChars="200"/>
        <w:jc w:val="left"/>
        <w:textAlignment w:val="auto"/>
        <w:rPr>
          <w:rFonts w:hint="default" w:ascii="仿宋" w:hAnsi="仿宋" w:eastAsia="仿宋" w:cs="仿宋"/>
          <w:b w:val="0"/>
          <w:bCs/>
          <w:sz w:val="32"/>
          <w:szCs w:val="32"/>
          <w:lang w:val="en-US"/>
        </w:rPr>
      </w:pPr>
      <w:r>
        <w:rPr>
          <w:rFonts w:hint="eastAsia" w:ascii="仿宋" w:hAnsi="仿宋" w:eastAsia="仿宋" w:cs="仿宋"/>
          <w:b w:val="0"/>
          <w:bCs/>
          <w:sz w:val="32"/>
          <w:szCs w:val="32"/>
          <w:lang w:eastAsia="zh-CN"/>
        </w:rPr>
        <w:t>第二章</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球队防疫指南</w:t>
      </w:r>
      <w:r>
        <w:rPr>
          <w:rFonts w:hint="eastAsia" w:ascii="仿宋" w:hAnsi="仿宋" w:eastAsia="仿宋" w:cs="仿宋"/>
          <w:b w:val="0"/>
          <w:bCs/>
          <w:sz w:val="32"/>
          <w:szCs w:val="32"/>
          <w:lang w:val="en-US" w:eastAsia="zh-CN"/>
        </w:rPr>
        <w:t>···························23</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firstLine="640" w:firstLineChars="200"/>
        <w:jc w:val="left"/>
        <w:textAlignment w:val="auto"/>
        <w:rPr>
          <w:rFonts w:hint="default" w:ascii="仿宋" w:hAnsi="仿宋" w:eastAsia="仿宋" w:cs="仿宋"/>
          <w:b w:val="0"/>
          <w:bCs/>
          <w:sz w:val="32"/>
          <w:szCs w:val="32"/>
          <w:lang w:val="en-US"/>
        </w:rPr>
      </w:pPr>
      <w:r>
        <w:rPr>
          <w:rFonts w:hint="eastAsia" w:ascii="仿宋" w:hAnsi="仿宋" w:eastAsia="仿宋" w:cs="仿宋"/>
          <w:b w:val="0"/>
          <w:bCs/>
          <w:sz w:val="32"/>
          <w:szCs w:val="32"/>
          <w:lang w:eastAsia="zh-CN"/>
        </w:rPr>
        <w:t>第三章</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裁判防疫指南</w:t>
      </w:r>
      <w:r>
        <w:rPr>
          <w:rFonts w:hint="eastAsia" w:ascii="仿宋" w:hAnsi="仿宋" w:eastAsia="仿宋" w:cs="仿宋"/>
          <w:b w:val="0"/>
          <w:bCs/>
          <w:sz w:val="32"/>
          <w:szCs w:val="32"/>
          <w:lang w:val="en-US" w:eastAsia="zh-CN"/>
        </w:rPr>
        <w:t>···························36</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firstLine="640" w:firstLineChars="200"/>
        <w:jc w:val="left"/>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eastAsia="zh-CN"/>
        </w:rPr>
        <w:t>第四章</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组委会医务防疫指南</w:t>
      </w:r>
      <w:r>
        <w:rPr>
          <w:rFonts w:hint="eastAsia" w:ascii="仿宋" w:hAnsi="仿宋" w:eastAsia="仿宋" w:cs="仿宋"/>
          <w:b w:val="0"/>
          <w:bCs/>
          <w:sz w:val="32"/>
          <w:szCs w:val="32"/>
          <w:lang w:val="en-US" w:eastAsia="zh-CN"/>
        </w:rPr>
        <w:t>·····················40</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firstLine="640" w:firstLineChars="200"/>
        <w:jc w:val="left"/>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eastAsia="zh-CN"/>
        </w:rPr>
        <w:t>第五章</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新闻媒体记者防疫指南</w:t>
      </w:r>
      <w:r>
        <w:rPr>
          <w:rFonts w:hint="eastAsia" w:ascii="仿宋" w:hAnsi="仿宋" w:eastAsia="仿宋" w:cs="仿宋"/>
          <w:b w:val="0"/>
          <w:bCs/>
          <w:sz w:val="32"/>
          <w:szCs w:val="32"/>
          <w:lang w:val="en-US" w:eastAsia="zh-CN"/>
        </w:rPr>
        <w:t>···················46</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firstLine="640" w:firstLineChars="200"/>
        <w:jc w:val="left"/>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eastAsia="zh-CN"/>
        </w:rPr>
        <w:t>第六章</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color w:val="auto"/>
          <w:sz w:val="32"/>
          <w:szCs w:val="32"/>
        </w:rPr>
        <w:t>赛场工作人员防疫指南</w:t>
      </w:r>
      <w:r>
        <w:rPr>
          <w:rFonts w:hint="eastAsia" w:ascii="仿宋" w:hAnsi="仿宋" w:eastAsia="仿宋" w:cs="仿宋"/>
          <w:b w:val="0"/>
          <w:bCs/>
          <w:color w:val="auto"/>
          <w:sz w:val="32"/>
          <w:szCs w:val="32"/>
          <w:lang w:val="en-US" w:eastAsia="zh-CN"/>
        </w:rPr>
        <w:t>·········</w:t>
      </w:r>
      <w:r>
        <w:rPr>
          <w:rFonts w:hint="eastAsia" w:ascii="仿宋" w:hAnsi="仿宋" w:eastAsia="仿宋" w:cs="仿宋"/>
          <w:b w:val="0"/>
          <w:bCs/>
          <w:sz w:val="32"/>
          <w:szCs w:val="32"/>
          <w:lang w:val="en-US" w:eastAsia="zh-CN"/>
        </w:rPr>
        <w:t>··</w:t>
      </w:r>
      <w:r>
        <w:rPr>
          <w:rFonts w:hint="eastAsia" w:ascii="仿宋" w:hAnsi="仿宋" w:eastAsia="仿宋" w:cs="仿宋"/>
          <w:b w:val="0"/>
          <w:bCs/>
          <w:color w:val="auto"/>
          <w:sz w:val="32"/>
          <w:szCs w:val="32"/>
          <w:lang w:val="en-US" w:eastAsia="zh-CN"/>
        </w:rPr>
        <w:t>········51</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firstLine="640" w:firstLineChars="200"/>
        <w:jc w:val="left"/>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eastAsia="zh-CN"/>
        </w:rPr>
        <w:t>第七章</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赛事官方接待酒店防疫指南</w:t>
      </w:r>
      <w:r>
        <w:rPr>
          <w:rFonts w:hint="eastAsia" w:ascii="仿宋" w:hAnsi="仿宋" w:eastAsia="仿宋" w:cs="仿宋"/>
          <w:b w:val="0"/>
          <w:bCs/>
          <w:sz w:val="32"/>
          <w:szCs w:val="32"/>
          <w:lang w:val="en-US" w:eastAsia="zh-CN"/>
        </w:rPr>
        <w:t>···············53</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firstLine="640" w:firstLineChars="200"/>
        <w:jc w:val="left"/>
        <w:textAlignment w:val="auto"/>
        <w:rPr>
          <w:rFonts w:hint="default" w:ascii="仿宋" w:hAnsi="仿宋" w:eastAsia="仿宋" w:cs="仿宋"/>
          <w:b/>
          <w:bCs w:val="0"/>
          <w:sz w:val="32"/>
          <w:szCs w:val="32"/>
          <w:lang w:val="en-US" w:eastAsia="zh-CN"/>
        </w:rPr>
      </w:pPr>
      <w:r>
        <w:rPr>
          <w:rFonts w:hint="eastAsia" w:ascii="仿宋" w:hAnsi="仿宋" w:eastAsia="仿宋" w:cs="仿宋"/>
          <w:b w:val="0"/>
          <w:bCs/>
          <w:sz w:val="32"/>
          <w:szCs w:val="32"/>
          <w:lang w:eastAsia="zh-CN"/>
        </w:rPr>
        <w:t>第八章</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疫情防控应急处置预案</w:t>
      </w:r>
      <w:r>
        <w:rPr>
          <w:rFonts w:hint="eastAsia" w:ascii="仿宋" w:hAnsi="仿宋" w:eastAsia="仿宋" w:cs="仿宋"/>
          <w:b w:val="0"/>
          <w:bCs/>
          <w:sz w:val="32"/>
          <w:szCs w:val="32"/>
          <w:lang w:val="en-US" w:eastAsia="zh-CN"/>
        </w:rPr>
        <w:t>···················59</w:t>
      </w:r>
    </w:p>
    <w:p>
      <w:pPr>
        <w:spacing w:line="360" w:lineRule="auto"/>
        <w:rPr>
          <w:rFonts w:ascii="宋体" w:hAnsi="宋体" w:eastAsia="宋体" w:cs="宋体"/>
          <w:b/>
          <w:sz w:val="32"/>
          <w:szCs w:val="32"/>
        </w:rPr>
      </w:pPr>
    </w:p>
    <w:p>
      <w:pPr>
        <w:rPr>
          <w:rFonts w:ascii="宋体" w:hAnsi="宋体" w:eastAsia="宋体" w:cs="宋体"/>
          <w:b/>
          <w:sz w:val="32"/>
          <w:szCs w:val="32"/>
        </w:rPr>
      </w:pPr>
      <w:r>
        <w:rPr>
          <w:rFonts w:ascii="宋体" w:hAnsi="宋体" w:eastAsia="宋体" w:cs="宋体"/>
          <w:b/>
          <w:sz w:val="32"/>
          <w:szCs w:val="32"/>
        </w:rPr>
        <w:br w:type="page"/>
      </w:r>
    </w:p>
    <w:p>
      <w:pPr>
        <w:pageBreakBefore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第一章 疫情防控组织机构</w:t>
      </w:r>
    </w:p>
    <w:p>
      <w:pPr>
        <w:pageBreakBefore w:val="0"/>
        <w:kinsoku/>
        <w:wordWrap/>
        <w:overflowPunct/>
        <w:topLinePunct w:val="0"/>
        <w:bidi w:val="0"/>
        <w:snapToGrid/>
        <w:spacing w:line="560" w:lineRule="exact"/>
        <w:jc w:val="center"/>
        <w:textAlignment w:val="auto"/>
        <w:rPr>
          <w:rFonts w:hint="eastAsia" w:ascii="仿宋" w:hAnsi="仿宋" w:eastAsia="仿宋" w:cs="仿宋"/>
          <w:b/>
          <w:sz w:val="32"/>
          <w:szCs w:val="32"/>
        </w:rPr>
      </w:pP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赛事审慎、安全、有序地组织实施，须以全程严密、认真、有效地做好疫情防控工作为根本基础。为此，为充分发挥各方优势、加强密切联动、建立全面的赛事疫情防控责任体系，明确主承办单位、运营单位、执行单位、参赛队、本地疫情防控部门、体育场馆、酒店、交通运输等各环节、各单位的主体防疫责任，特组建赛事疫情防控工作领导小组与执行小组。</w:t>
      </w:r>
    </w:p>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一、赛事疫情防控工作领导小组</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由中国企业体协领导、主办方属地疫情防控工作领导小组领导、参赛队负责人、执行单位负责人等人员组成。</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  长：戴璐强（中国企业体协副主席）、山东省淄博市张店区领导、淄博市疫情防控工作领导小组领导。</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副组长：田超（中国企业体协副秘书长）、淄博市疫情防控</w:t>
      </w:r>
    </w:p>
    <w:p>
      <w:pPr>
        <w:pageBreakBefore w:val="0"/>
        <w:kinsoku/>
        <w:wordWrap/>
        <w:overflowPunct/>
        <w:topLinePunct w:val="0"/>
        <w:bidi w:val="0"/>
        <w:snapToGrid/>
        <w:spacing w:line="560" w:lineRule="exact"/>
        <w:ind w:left="1918" w:leftChars="266" w:hanging="1280" w:hangingChars="400"/>
        <w:textAlignment w:val="auto"/>
        <w:rPr>
          <w:rFonts w:hint="eastAsia" w:ascii="仿宋" w:hAnsi="仿宋" w:eastAsia="仿宋" w:cs="仿宋"/>
          <w:sz w:val="32"/>
          <w:szCs w:val="32"/>
        </w:rPr>
      </w:pPr>
      <w:r>
        <w:rPr>
          <w:rFonts w:hint="eastAsia" w:ascii="仿宋" w:hAnsi="仿宋" w:eastAsia="仿宋" w:cs="仿宋"/>
          <w:sz w:val="32"/>
          <w:szCs w:val="32"/>
        </w:rPr>
        <w:t xml:space="preserve">        工作领导小组负责人。</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  员：各参赛队负责人</w:t>
      </w:r>
    </w:p>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二、赛事疫情防控工作执行小组</w:t>
      </w:r>
    </w:p>
    <w:p>
      <w:pPr>
        <w:pageBreakBefore w:val="0"/>
        <w:kinsoku/>
        <w:wordWrap/>
        <w:overflowPunct/>
        <w:topLinePunct w:val="0"/>
        <w:bidi w:val="0"/>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由中国企业体协、中企体育文化发展有限公司、执行公司、竞赛、裁判、物资、媒体、后勤、参赛队等相关单位与工作板块的执行负责人组成。</w:t>
      </w:r>
    </w:p>
    <w:p>
      <w:pPr>
        <w:pageBreakBefore w:val="0"/>
        <w:kinsoku/>
        <w:wordWrap/>
        <w:overflowPunct/>
        <w:topLinePunct w:val="0"/>
        <w:bidi w:val="0"/>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组  长：王岩峰（中企体育文化发展有限公司副总经理）</w:t>
      </w:r>
    </w:p>
    <w:p>
      <w:pPr>
        <w:pageBreakBefore w:val="0"/>
        <w:tabs>
          <w:tab w:val="left" w:pos="1636"/>
        </w:tabs>
        <w:kinsoku/>
        <w:wordWrap/>
        <w:overflowPunct/>
        <w:topLinePunct w:val="0"/>
        <w:bidi w:val="0"/>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副</w:t>
      </w:r>
      <w:bookmarkStart w:id="53" w:name="_GoBack"/>
      <w:bookmarkEnd w:id="53"/>
      <w:r>
        <w:rPr>
          <w:rFonts w:hint="eastAsia" w:ascii="仿宋" w:hAnsi="仿宋" w:eastAsia="仿宋" w:cs="仿宋"/>
          <w:sz w:val="32"/>
          <w:szCs w:val="32"/>
        </w:rPr>
        <w:t>组长：执行公司负责人</w:t>
      </w:r>
    </w:p>
    <w:p>
      <w:pPr>
        <w:pageBreakBefore w:val="0"/>
        <w:tabs>
          <w:tab w:val="left" w:pos="1636"/>
        </w:tabs>
        <w:kinsoku/>
        <w:wordWrap/>
        <w:overflowPunct/>
        <w:topLinePunct w:val="0"/>
        <w:bidi w:val="0"/>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组  员：刘大铭（竞赛）、赵岩（裁判）、张旭阳（媒体）、白宝林（后勤）、王美娟（后勤）。</w:t>
      </w:r>
    </w:p>
    <w:p>
      <w:pPr>
        <w:pStyle w:val="2"/>
        <w:pageBreakBefore w:val="0"/>
        <w:kinsoku/>
        <w:wordWrap/>
        <w:overflowPunct/>
        <w:topLinePunct w:val="0"/>
        <w:bidi w:val="0"/>
        <w:snapToGrid/>
        <w:spacing w:before="0" w:after="0" w:line="560" w:lineRule="exact"/>
        <w:jc w:val="center"/>
        <w:textAlignment w:val="auto"/>
        <w:rPr>
          <w:rFonts w:hint="eastAsia" w:ascii="仿宋" w:hAnsi="仿宋" w:eastAsia="仿宋" w:cs="仿宋"/>
          <w:sz w:val="32"/>
          <w:szCs w:val="32"/>
        </w:rPr>
      </w:pPr>
    </w:p>
    <w:p>
      <w:pPr>
        <w:pStyle w:val="2"/>
        <w:pageBreakBefore w:val="0"/>
        <w:kinsoku/>
        <w:wordWrap/>
        <w:overflowPunct/>
        <w:topLinePunct w:val="0"/>
        <w:bidi w:val="0"/>
        <w:snapToGrid/>
        <w:spacing w:before="0" w:after="0" w:line="560" w:lineRule="exact"/>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第二章 球队防疫指南</w:t>
      </w:r>
    </w:p>
    <w:p>
      <w:pPr>
        <w:pStyle w:val="2"/>
        <w:pageBreakBefore w:val="0"/>
        <w:kinsoku/>
        <w:wordWrap/>
        <w:overflowPunct/>
        <w:topLinePunct w:val="0"/>
        <w:bidi w:val="0"/>
        <w:snapToGrid/>
        <w:spacing w:before="0" w:after="0" w:line="560" w:lineRule="exact"/>
        <w:textAlignment w:val="auto"/>
        <w:rPr>
          <w:rFonts w:hint="eastAsia" w:ascii="仿宋" w:hAnsi="仿宋" w:eastAsia="仿宋" w:cs="仿宋"/>
          <w:sz w:val="32"/>
          <w:szCs w:val="32"/>
        </w:rPr>
      </w:pPr>
    </w:p>
    <w:p>
      <w:pPr>
        <w:pStyle w:val="2"/>
        <w:pageBreakBefore w:val="0"/>
        <w:kinsoku/>
        <w:wordWrap/>
        <w:overflowPunct/>
        <w:topLinePunct w:val="0"/>
        <w:bidi w:val="0"/>
        <w:snapToGrid/>
        <w:spacing w:before="0" w:after="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一、赛事防疫总体要求</w:t>
      </w:r>
      <w:bookmarkEnd w:id="0"/>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（一）本次赛事仅允许来自于低风险地区、且在赛事官方报到日之前14天内一直停留在低风险地区的球队和人员参加。</w:t>
      </w:r>
    </w:p>
    <w:p>
      <w:pPr>
        <w:pageBreakBefore w:val="0"/>
        <w:kinsoku/>
        <w:wordWrap/>
        <w:overflowPunct/>
        <w:topLinePunct w:val="0"/>
        <w:bidi w:val="0"/>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（二）各球队须严格按照本方案的相关要求，做好球队赛前训练防疫工作和抵达赛区前的防疫工作，确保球队所有参赛人员（球队官员与运动员）均身体健康。</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球队所有参赛人员在出发前往赛区前，须进行至少一次核酸检测，且结果呈阴性。核酸检测结果的有效日期，为从赛事官方报到日算起前7日内。</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赛事期间，除比赛、训练、参加赛事配套的仪式与会议等活动之外，球队其他外出，均应向疫情防控工作执行小组提前报备。未提前报备便擅自外出的球队，经查实后将按照本次赛事规程中的纪律规定进行处理。</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（四）所有球队正式报到后，须乘坐组委会安排的专属大巴车，按照组委会制定的日程与顺序安排，往返于入住酒店与体育场，进行适应性训练、热身与比赛。</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适应性训练、热身与比赛完成后，所有球队均须直接返回入住酒店。</w:t>
      </w:r>
    </w:p>
    <w:p>
      <w:pPr>
        <w:pageBreakBefore w:val="0"/>
        <w:kinsoku/>
        <w:wordWrap/>
        <w:overflowPunct/>
        <w:topLinePunct w:val="0"/>
        <w:bidi w:val="0"/>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五）各球队领队，为本队疫情防控工作第一责任人，全程负责领导并落实本队的疫情防控工作。各球队队医，为本队疫情防控工作联络员，负责全程密切配合领队、疫情防控工作执行小组、疫情防控工作领导小组，执行并做实本队的各项防疫工作。</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球队与个人违反本方案相关规定的行为，将受到组委会的严厉处罚，并进行通报批评。情节严重的，将被组委会直接开除，取消其继续参加本次比赛的资格。情节非常严重的，将终身禁止其参加全国行业/企业职工男子篮球赛以及各类型赛事。如有所收取费用的，不予退还。</w:t>
      </w:r>
    </w:p>
    <w:p>
      <w:pPr>
        <w:pageBreakBefore w:val="0"/>
        <w:kinsoku/>
        <w:wordWrap/>
        <w:overflowPunct/>
        <w:topLinePunct w:val="0"/>
        <w:bidi w:val="0"/>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（七）领队须全程尽到对本队全体人员及其关联人员进行舆情管理的责任与义务，不允许发表对赛事组织及疫情防控工作的负面言论。</w:t>
      </w:r>
      <w:bookmarkStart w:id="3" w:name="_Toc43660824"/>
      <w:r>
        <w:rPr>
          <w:rFonts w:hint="eastAsia" w:ascii="仿宋" w:hAnsi="仿宋" w:eastAsia="仿宋" w:cs="仿宋"/>
          <w:sz w:val="32"/>
          <w:szCs w:val="32"/>
        </w:rPr>
        <w:t>造成恶劣影响的，赛事主办单位、承办单位、协办单位等相关单位，将行使追究其法律责任的权利。</w:t>
      </w:r>
    </w:p>
    <w:p>
      <w:pPr>
        <w:pageBreakBefore w:val="0"/>
        <w:kinsoku/>
        <w:wordWrap/>
        <w:overflowPunct/>
        <w:topLinePunct w:val="0"/>
        <w:bidi w:val="0"/>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（八）赛前联席会议、开幕式、闭幕式及招商营商交流座谈会等活动，一切从简进行，严格把控球队参加上述活动的人数，避免过多人员聚集。</w:t>
      </w:r>
    </w:p>
    <w:p>
      <w:pPr>
        <w:pageBreakBefore w:val="0"/>
        <w:kinsoku/>
        <w:wordWrap/>
        <w:overflowPunct/>
        <w:topLinePunct w:val="0"/>
        <w:bidi w:val="0"/>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（九）组委会根据实际疫情防控情况决定是否空场进行，如接待观众，则须保证足够的防控安全距离。</w:t>
      </w:r>
    </w:p>
    <w:bookmarkEnd w:id="3"/>
    <w:p>
      <w:pPr>
        <w:pageBreakBefore w:val="0"/>
        <w:kinsoku/>
        <w:wordWrap/>
        <w:overflowPunct/>
        <w:topLinePunct w:val="0"/>
        <w:bidi w:val="0"/>
        <w:snapToGrid/>
        <w:spacing w:line="560" w:lineRule="exact"/>
        <w:textAlignment w:val="auto"/>
        <w:rPr>
          <w:rFonts w:hint="eastAsia" w:ascii="黑体" w:hAnsi="黑体" w:eastAsia="黑体" w:cs="黑体"/>
          <w:b w:val="0"/>
          <w:bCs w:val="0"/>
          <w:kern w:val="44"/>
          <w:sz w:val="32"/>
          <w:szCs w:val="32"/>
          <w:lang w:val="en-US" w:eastAsia="zh-CN" w:bidi="ar-SA"/>
        </w:rPr>
      </w:pPr>
      <w:bookmarkStart w:id="4" w:name="_Toc43660826"/>
      <w:r>
        <w:rPr>
          <w:rFonts w:hint="eastAsia" w:ascii="仿宋" w:hAnsi="仿宋" w:eastAsia="仿宋" w:cs="仿宋"/>
          <w:b/>
          <w:sz w:val="32"/>
          <w:szCs w:val="32"/>
        </w:rPr>
        <w:t xml:space="preserve">    </w:t>
      </w:r>
      <w:r>
        <w:rPr>
          <w:rFonts w:hint="eastAsia" w:ascii="黑体" w:hAnsi="黑体" w:eastAsia="黑体" w:cs="黑体"/>
          <w:b w:val="0"/>
          <w:bCs w:val="0"/>
          <w:kern w:val="44"/>
          <w:sz w:val="32"/>
          <w:szCs w:val="32"/>
          <w:lang w:val="en-US" w:eastAsia="zh-CN" w:bidi="ar-SA"/>
        </w:rPr>
        <w:t>二、前往赛区之前、途中、抵达后的疫情防控工作要求</w:t>
      </w:r>
    </w:p>
    <w:p>
      <w:pPr>
        <w:pageBreakBefore w:val="0"/>
        <w:kinsoku/>
        <w:wordWrap/>
        <w:overflowPunct/>
        <w:topLinePunct w:val="0"/>
        <w:bidi w:val="0"/>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sz w:val="32"/>
          <w:szCs w:val="32"/>
        </w:rPr>
        <w:t>（一）前往赛区前</w:t>
      </w:r>
    </w:p>
    <w:p>
      <w:pPr>
        <w:pageBreakBefore w:val="0"/>
        <w:kinsoku/>
        <w:wordWrap/>
        <w:overflowPunct/>
        <w:topLinePunct w:val="0"/>
        <w:bidi w:val="0"/>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1.在接到参赛通知、确定参赛、完成报名并缴纳费用后，所有球队的所有参赛人员（包含球队官员、运动员），须在前往赛区前、自行至少进行一次核酸检测。核酸检测结果有效日期，须包含赛事官方报到日期。核酸检测结果呈阴性的，方可前往赛区参赛。本次核酸检测结果，是本次比赛报名资料的重要组成部分，须及时提交至组委会。</w:t>
      </w:r>
      <w:r>
        <w:rPr>
          <w:rFonts w:hint="eastAsia" w:ascii="仿宋" w:hAnsi="仿宋" w:eastAsia="仿宋" w:cs="仿宋"/>
          <w:b/>
          <w:sz w:val="32"/>
          <w:szCs w:val="32"/>
        </w:rPr>
        <w:t>本次核酸检测，由参赛队队医负责组织并完成。</w:t>
      </w:r>
      <w:r>
        <w:rPr>
          <w:rFonts w:hint="eastAsia" w:ascii="仿宋" w:hAnsi="仿宋" w:eastAsia="仿宋" w:cs="仿宋"/>
          <w:sz w:val="32"/>
          <w:szCs w:val="32"/>
        </w:rPr>
        <w:t xml:space="preserve">  </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在球队自行进行核酸检测、结果呈阴性的基础上，球队还须在出发前将本队所有参赛人员居住地的“健康码”状态，以及过去14天内的轨迹证明（从赛事官方报到日期算起，向前14天），及时提交至组委会。球队提供的各类信息，必须真实、准确、完整、有效。</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各球队须提前自行制定好前往比赛赛区途中的本队疫情防控措施。提前了解出发地机场、车站的疫情防控工作具体要求，并向航空公司或铁路部门了解拟乘坐航班或火车的疫情防控工作要求，避免与来自境外的中转人员同行。</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4.各球队队医，为本队疫情防控工作的具体执行人。如赛区所在的省、市或区围绕疫情防控工作，提出特别要求及相关措施，须队医负责向本队传达，并负责严格落实执行。</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5.在前往赛区前，球队领队及队医须对本队所有参赛人员，进行疫情防控知识教育与培训，并严格制定本队的疫情防控工作纪律。</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（二）前往赛区旅途中</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各球队所有参赛人员，在前往赛区的旅途当中，必须全程佩戴符合防疫要求的口罩，全程做好个人防护。各球队须自行配备合格的消毒用品，要求所有参赛人员在触摸电梯、搬运行李、办理登机或搭乘火车手续、以及上下飞机或高铁后等情况下，均始终做到及时自行消毒。</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旅途过程中，球队应避免在身处密闭环境、空气流通性差的空间里用餐，并全程佩戴口罩。如乘坐高铁，应尽量确保本队所有参赛人员集中在相同车厢、分散就座，同时尽量与非本队人员保持距离。在条件允许的情况下，尽量乘坐球队专属大巴或采用高铁包车厢等陆路交通方式前往赛区。乘坐飞机时，如条件允许，应尽量选乘大型客机或乘坐公务舱。</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3.球队须提前将本队所有参赛人员搭乘的航班、火车等行程信息，提交至组委会，并妥善保留搭乘票务与凭证。</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（三）抵达赛区</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1.根据当地疫情防控要求，在确认需要抵达后接受核酸检测的情况下，球队搭乘飞机或火车抵达赛区后，本队所有参赛人员须第一时间前往组委会指定的赛事官方接待酒店，完成报到，并接受一次核酸检测。</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核酸检测结果产生前，球队所有参赛人员须停留在自己的房间之内。确实有外出需求，须向组委会进行书面报备。球队所有参赛人员本次核酸检测均呈阴性后，该队方可在体育场、酒店等区域内，进行训练、比赛、出席相关活动。</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此项工作（如有），由组委会医务官，以及各球队队医共同负责组织实施。</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根据当地疫情防控要求，在确认需要抵达后接受核酸检测的情况下，如球队乘坐球队专属大巴抵达赛区，并持有所有参赛人员7日内核酸检测均呈阴性的报告（该核酸检测结果有效日期，须包含赛事官方报到日期），该队可不再接受核酸检测。</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此项工作（如有），由疫情防控领导小组，以及组委会医务官共同负责确认。</w:t>
      </w:r>
    </w:p>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三、外籍及归国人员疫情防控指南</w:t>
      </w:r>
      <w:bookmarkStart w:id="5" w:name="_Toc40439572"/>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（一）在当前疫情防控工作“外防输入，内防反弹”的整体形势下，本次赛事暂不接受外籍人员，以球队官员或运动员身份参赛。</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（二）港澳台人员、归国人员，在最近一次归国入境已经期满180天以上（含）的情况下，在提供真实、完整的材料证明，并获得组委会书面批准的基础上，方可以球队官员或运动员身份参赛。</w:t>
      </w:r>
    </w:p>
    <w:bookmarkEnd w:id="4"/>
    <w:bookmarkEnd w:id="5"/>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bookmarkStart w:id="6" w:name="_Toc43660827"/>
      <w:r>
        <w:rPr>
          <w:rFonts w:hint="eastAsia" w:ascii="黑体" w:hAnsi="黑体" w:eastAsia="黑体" w:cs="黑体"/>
          <w:b w:val="0"/>
          <w:bCs/>
          <w:sz w:val="32"/>
          <w:szCs w:val="32"/>
        </w:rPr>
        <w:t>四、球队在酒店住宿期间疫情防控指南</w:t>
      </w:r>
      <w:bookmarkEnd w:id="6"/>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为做好疫情防控常态化形势下的赛事组织工作，确保实现“零疫情、零违纪”，所有球队、所有参赛人员须按要求，统一入住组委会推荐的赛事官方接待酒店。</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球队在赛事官方接待酒店入住期间，除比赛、训练、参加赛事配套的仪式与会议等活动之外，球队参赛人员在未提前向疫情防控工作执行小组报备的情况下，不得擅自随意外出。 </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为确保“责任落实到人，工作落实到位”，球队领队和队医应分别从不同方面，负责落实本队参赛期间的疫情防控工作。</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球队必须根据组委会的统一安排，入住指定的赛事官方接待酒店，并严格遵守楼层及餐厅的划分和使用安排。在入住前，球队须按照楼层管理方案，将本队参赛人员的房间安排，提交至疫情防控工作执行小组。</w:t>
      </w:r>
      <w:r>
        <w:rPr>
          <w:rFonts w:hint="eastAsia" w:ascii="仿宋" w:hAnsi="仿宋" w:eastAsia="仿宋" w:cs="仿宋"/>
          <w:b/>
          <w:sz w:val="32"/>
          <w:szCs w:val="32"/>
        </w:rPr>
        <w:t>（责任人：领队）</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（二）各球队应向组委会提交球队自行制定的本队入住酒店期间的防疫方案，并向疫情防控工作领导小组与执行小组共同报备。</w:t>
      </w:r>
      <w:r>
        <w:rPr>
          <w:rFonts w:hint="eastAsia" w:ascii="仿宋" w:hAnsi="仿宋" w:eastAsia="仿宋" w:cs="仿宋"/>
          <w:b/>
          <w:sz w:val="32"/>
          <w:szCs w:val="32"/>
        </w:rPr>
        <w:t>（责任人：领队及队医）</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（三）球队每天早中晚三次、自行进行所有参赛人员的体温检测并记录测温结果。三次自行测温的完成时间节点，分别是：</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1.第一次，上午9点前。</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2.第二次，中午12点前。</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3.第三次，晚上9点前。</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每次测温后5分钟内，球队应将本队所有参赛人员的测温情况，及时提交至疫情防控工作执行小组。</w:t>
      </w:r>
      <w:r>
        <w:rPr>
          <w:rFonts w:hint="eastAsia" w:ascii="仿宋" w:hAnsi="仿宋" w:eastAsia="仿宋" w:cs="仿宋"/>
          <w:b/>
          <w:sz w:val="32"/>
          <w:szCs w:val="32"/>
        </w:rPr>
        <w:t>（责任人：队医）</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（四）球队洗衣、用冰、用水、用大毛巾等其他需求，应在满足赛区防疫规定前提下进行。</w:t>
      </w:r>
      <w:r>
        <w:rPr>
          <w:rFonts w:hint="eastAsia" w:ascii="仿宋" w:hAnsi="仿宋" w:eastAsia="仿宋" w:cs="仿宋"/>
          <w:b/>
          <w:sz w:val="32"/>
          <w:szCs w:val="32"/>
        </w:rPr>
        <w:t>（责任人：队医）</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（五）球队须自行为本队所有参赛人员配备充足的口罩、消毒液等防疫物资。口罩须在以下情形下佩戴：旅途中，自己房间外，酒店与体育场等公共区域和球队大巴上。</w:t>
      </w:r>
      <w:r>
        <w:rPr>
          <w:rFonts w:hint="eastAsia" w:ascii="仿宋" w:hAnsi="仿宋" w:eastAsia="仿宋" w:cs="仿宋"/>
          <w:b/>
          <w:sz w:val="32"/>
          <w:szCs w:val="32"/>
        </w:rPr>
        <w:t>（责任人：领队）</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（六）确保本队房间通风，或通过空调、加湿器调节室内空气环境。</w:t>
      </w:r>
      <w:r>
        <w:rPr>
          <w:rFonts w:hint="eastAsia" w:ascii="仿宋" w:hAnsi="仿宋" w:eastAsia="仿宋" w:cs="仿宋"/>
          <w:b/>
          <w:sz w:val="32"/>
          <w:szCs w:val="32"/>
        </w:rPr>
        <w:t>（责任人：领队）</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（七）确保本队所有参赛人员避免用手部直接碰触电梯按钮、扶手或门把手等，经常洗手。</w:t>
      </w:r>
      <w:r>
        <w:rPr>
          <w:rFonts w:hint="eastAsia" w:ascii="仿宋" w:hAnsi="仿宋" w:eastAsia="仿宋" w:cs="仿宋"/>
          <w:b/>
          <w:sz w:val="32"/>
          <w:szCs w:val="32"/>
        </w:rPr>
        <w:t>（责任人：领队）</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（八）领队作为本队快递统一接收人，确保本队其他所有参赛人员不与快递、送餐、送货人员直接接触，并在统一接收物品、统一消毒后，在队内进行分发领取。</w:t>
      </w:r>
      <w:r>
        <w:rPr>
          <w:rFonts w:hint="eastAsia" w:ascii="仿宋" w:hAnsi="仿宋" w:eastAsia="仿宋" w:cs="仿宋"/>
          <w:b/>
          <w:sz w:val="32"/>
          <w:szCs w:val="32"/>
        </w:rPr>
        <w:t>（责任人：领队）</w:t>
      </w:r>
    </w:p>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bookmarkStart w:id="7" w:name="_Toc43660828"/>
      <w:r>
        <w:rPr>
          <w:rFonts w:hint="eastAsia" w:ascii="黑体" w:hAnsi="黑体" w:eastAsia="黑体" w:cs="黑体"/>
          <w:b w:val="0"/>
          <w:bCs/>
          <w:sz w:val="32"/>
          <w:szCs w:val="32"/>
        </w:rPr>
        <w:t>五、比赛日疫情防控指南</w:t>
      </w:r>
      <w:bookmarkEnd w:id="7"/>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（一）开球前防疫要求</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1.球队抵达</w:t>
      </w:r>
      <w:bookmarkStart w:id="8" w:name="_Hlk40856640"/>
      <w:r>
        <w:rPr>
          <w:rFonts w:hint="eastAsia" w:ascii="仿宋" w:hAnsi="仿宋" w:eastAsia="仿宋" w:cs="仿宋"/>
          <w:b/>
          <w:sz w:val="32"/>
          <w:szCs w:val="32"/>
        </w:rPr>
        <w:t>（责任人：组委会、组委会医务官和参赛队队医）</w:t>
      </w:r>
      <w:bookmarkEnd w:id="8"/>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（1）球队大巴在使用前应进行彻底的消毒。消毒后至球队出发前，除司机外，不应有其他人员再行进入大巴。司机应确保始终佩戴口罩并做好个人防护，上车前使用免洗消毒用品洗手。</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参赛球队错时进入体育场，并在进入场区时接受体温检测，且用本人手机“健康码”小程序扫描指定的场区所在地二维码。参赛两队抵达体育场的时间，应提前通知组委会医务官和安保负责人，避免聚集等候。</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（3）球队抵达后，应通过球员专用通道进入更衣室。球员在进入更衣室的过程中，仅安排当场技术代表、裁判长、组委会医务官在球员专用通道内。</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2.更衣室检查装备</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裁判团队将在球队更衣室门口检查球员装备和参赛证。球员应严格遵守比赛倒计时程序提前准备，并逐一有序地在更衣室门口展示自己的装备和参赛证。原则上，检查顺序为“先B队、后A队”。</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3.赛前热身</w:t>
      </w:r>
      <w:r>
        <w:rPr>
          <w:rFonts w:hint="eastAsia" w:ascii="仿宋" w:hAnsi="仿宋" w:eastAsia="仿宋" w:cs="仿宋"/>
          <w:b/>
          <w:sz w:val="32"/>
          <w:szCs w:val="32"/>
        </w:rPr>
        <w:t>（责任人：组委会、组委会队医和参赛队队医）</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（1）竞赛官员、参赛双方，可同时在比赛场地内进行热身活动，但应错峰进出比赛场地。</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（2）场地将严格控制内场人员，摄影记者仅在场地外围进行拍摄，不允许近距离拍摄球员，记者须全程佩戴口罩。</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（3）组委会不安排任何形式的赛前展示活动。</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4.装备检查和入场</w:t>
      </w:r>
      <w:r>
        <w:rPr>
          <w:rFonts w:hint="eastAsia" w:ascii="仿宋" w:hAnsi="仿宋" w:eastAsia="仿宋" w:cs="仿宋"/>
          <w:b/>
          <w:sz w:val="32"/>
          <w:szCs w:val="32"/>
        </w:rPr>
        <w:t>（责任人：组委会医务官和参赛队队医）</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（1）入场前,裁判团队在通道内先对B队球员进行装备检查，B队球员进入场地后，A队队员再离开更衣室进行装备检查；两队入场间隔1-2分钟。</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（2）不进行常规入场仪式，但比赛开始前如播放国歌，所有队员和裁判员应在中圈周围间隔站立，面向国旗唱国歌。</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（3）球队入场时，不安排牵手球童、不安排吉祥物、不安排其他入场展示活动、不握手、不安排其他需要球员列队或展示的活动。仅安排球队首发合影 (仅允许官方摄影到边线处拍照)。</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（二）比赛中防疫要求</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1.比赛中不建议有身体接触的进球庆祝，不交换球衣。</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2.建议球员和球员、球员和裁判员之间互相用击肘、鞠躬或行传统礼仪（如作揖）的方式，代替握手礼。</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bookmarkStart w:id="9" w:name="_Toc40439884"/>
      <w:bookmarkStart w:id="10" w:name="_Toc40439552"/>
      <w:r>
        <w:rPr>
          <w:rFonts w:hint="eastAsia" w:ascii="仿宋" w:hAnsi="仿宋" w:eastAsia="仿宋" w:cs="仿宋"/>
          <w:sz w:val="32"/>
          <w:szCs w:val="32"/>
        </w:rPr>
        <w:t>3.球员在比赛场地内应避免吐痰；如确因生理原因需要吐痰或呕吐等，应由本队队医提供一次性纸袋，在确保远离他人的情况下处理。</w:t>
      </w:r>
    </w:p>
    <w:bookmarkEnd w:id="9"/>
    <w:bookmarkEnd w:id="10"/>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bookmarkStart w:id="11" w:name="_Toc40439553"/>
      <w:bookmarkStart w:id="12" w:name="_Toc40439885"/>
      <w:r>
        <w:rPr>
          <w:rFonts w:hint="eastAsia" w:ascii="仿宋" w:hAnsi="仿宋" w:eastAsia="仿宋" w:cs="仿宋"/>
          <w:sz w:val="32"/>
          <w:szCs w:val="32"/>
        </w:rPr>
        <w:t>4.</w:t>
      </w:r>
      <w:bookmarkEnd w:id="11"/>
      <w:bookmarkEnd w:id="12"/>
      <w:r>
        <w:rPr>
          <w:rFonts w:hint="eastAsia" w:ascii="仿宋" w:hAnsi="仿宋" w:eastAsia="仿宋" w:cs="仿宋"/>
          <w:sz w:val="32"/>
          <w:szCs w:val="32"/>
        </w:rPr>
        <w:t>咳嗽或打喷嚏时，应与他人保持至少2米距离并转过身用手部或肘部遮挡口鼻。处理完毕后，应立刻到场边用免洗消毒物品或洗手液擦洗手部或肘部。</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5.替补席和场边人员</w:t>
      </w:r>
      <w:r>
        <w:rPr>
          <w:rFonts w:hint="eastAsia" w:ascii="仿宋" w:hAnsi="仿宋" w:eastAsia="仿宋" w:cs="仿宋"/>
          <w:b/>
          <w:sz w:val="32"/>
          <w:szCs w:val="32"/>
        </w:rPr>
        <w:t>（责任人：组委会、组委会医务官和参赛队队医）</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（1）替补席区域仅允许替补球员、持证的替补席官员和医护人员进入。赛事工作人员和其他持内场证件的人员应远离替补席区域。</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（2）替补席人员应全程佩戴口罩。被替换下场的球员，应第一时间配发口罩并尽快佩戴。替补席人员应避免吐痰，如需要，应返回更衣室或使用一次性纸袋，在远离他人的情况处理。</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替补席的座位设置，应采取间隔设置，队员和替补席人员隔1个座位。如有需要，可通过增加临时座椅等措施，适当扩大替补席的面积以满足要求。如场地条件允许，替补席多余人员可在替补席背后的看台就坐，相互间应间隔2个座位。</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6.比赛场上禁止球员和球员之间，或球员与裁判员之间进行争吵，避免感染风险。</w:t>
      </w:r>
    </w:p>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六、球队训练疫情防控指南</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（一）球员和球队官员在进入训练场前，应由参赛队队医负责对所有人员进行体温检测，体温合格后方可入场训练，且球队所有参赛人员，须用本人手机“健康码”小程序扫描指定的场区所在地二维码。</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（二）球员与球队官员应自备个人用品（如毛巾、水壶等），并编号专人专用，不得交叉使用。</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（三）训练期间，只有必要的队员、教练员和球队官员方能参加训练。未接受核酸检测的人员，不能在球队训练期间进入训练场地。</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（四）在训练或恢复需要的情况下，球队各有关人员应按规定，分批使用酒店内部的康体设施，如健身房等，避免人群聚集和交叉。</w:t>
      </w:r>
    </w:p>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bookmarkStart w:id="13" w:name="_Toc43660829"/>
      <w:r>
        <w:rPr>
          <w:rFonts w:hint="eastAsia" w:ascii="黑体" w:hAnsi="黑体" w:eastAsia="黑体" w:cs="黑体"/>
          <w:b w:val="0"/>
          <w:bCs/>
          <w:sz w:val="32"/>
          <w:szCs w:val="32"/>
        </w:rPr>
        <w:t>七、疫情防控应急预案</w:t>
      </w:r>
      <w:bookmarkEnd w:id="13"/>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（一）组委会将在体育场、酒店设立隔离室，协助突发事态的应急处置。</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（二）如球队、竞赛官员在训练场训练或体育场比赛时，出现症状者/确诊者，操作指南如下：</w:t>
      </w:r>
      <w:r>
        <w:rPr>
          <w:rFonts w:hint="eastAsia" w:ascii="仿宋" w:hAnsi="仿宋" w:eastAsia="仿宋" w:cs="仿宋"/>
          <w:b/>
          <w:sz w:val="32"/>
          <w:szCs w:val="32"/>
        </w:rPr>
        <w:t>（责任人：组委会、属地防疫部门和参赛队领队、参赛队队医）</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若出现疑似症状，包括发热（体温超过37.3度）、干咳、乏力、鼻塞、流涕、咽痛、肌痛和腹泻等症状，必须由组委会医务官和专业防疫人员将疑似病例带至隔离室，进行初步处置，同时向疫情防控工作领导小组，以及属地防疫部门报告并依规处置。</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所有人员在组委会医务官的指导下，佩戴口罩，离开场馆，同时配合疫情防控工作领导小组、疫情防控工作执行小组，以及属地防疫部门，做好与确诊者密切接触者的筛查和通知协调工作，所有与疑似病例有过密切接触者，将接受隔离观察。</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3.场地、疑似病例使用过的交通工具，以及接触过的其他物品，在组委会队医和参赛队队医的指导下，进行全面消毒。</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4.经属地防疫部门确认后，疫情防控工作领导小组将第一时间报告国家体育总局和中国篮球协会，经国家体育总局、中国篮球协会和国家有关部门的评估后，做出本次赛事是否暂停、推迟或取消的决定。</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（三）如球队、竞赛官员在酒店，出现症状者/确诊者，操作指南如下：</w:t>
      </w:r>
      <w:r>
        <w:rPr>
          <w:rFonts w:hint="eastAsia" w:ascii="仿宋" w:hAnsi="仿宋" w:eastAsia="仿宋" w:cs="仿宋"/>
          <w:b/>
          <w:sz w:val="32"/>
          <w:szCs w:val="32"/>
        </w:rPr>
        <w:t>（责任人：组委会、属地防疫部门和参赛队领队、参赛队队医）</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若出现疑似症状，包括发热（体温超过37.3度）、干咳、乏力、鼻塞、流涕、咽痛、肌痛和腹泻等症状，必须由组委会队医、参赛队队医和专业防疫人员，将疑似病例带至医务室（或隔离室），进行初步处置，同时向疫情防控工作领导小组，以及属地防疫部门报告并依规处置。</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经属地防疫部门确认后，疫情防控工作领导小组将根据国家有关部门的评估，做出本次赛事是否暂停、推迟或取消的决定。</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（四）比赛期间球员受伤或球队人员如遇突发病症，需紧急赴赛区定点医院诊治时，操作程序如下：</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1.除赛场比赛受伤球员送医外，其他就诊人员须向疫情防控工作执行小组报告，经疫情防控工作执行小组和组委会医务官批准确认后，方可赴医院治疗。</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2.去医院诊治人员及陪同人员须全程配戴口罩、防护镜、一次性手套、防护帽，司机不得离开车辆。</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3.诊治人员和陪同人员从医院返回酒店时，进入隔离区前应脱掉全部防护用品，并进行全身消杀，方可进入隔离区。</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（五）如出现疑似病例，组委会主要官员和工作人员，参赛队官员、球员和工作人员，必须接受疫情防控工作领导小组组长的统一调度安排，任何人不得擅自行动，不得通过个人社交平台发布相关信息。</w:t>
      </w:r>
    </w:p>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bookmarkStart w:id="14" w:name="_Toc43660830"/>
      <w:r>
        <w:rPr>
          <w:rFonts w:hint="eastAsia" w:ascii="黑体" w:hAnsi="黑体" w:eastAsia="黑体" w:cs="黑体"/>
          <w:b w:val="0"/>
          <w:bCs/>
          <w:sz w:val="32"/>
          <w:szCs w:val="32"/>
        </w:rPr>
        <w:t>八、个人生活疫情防控指南</w:t>
      </w:r>
      <w:bookmarkEnd w:id="14"/>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球员和球队官员疫情防控指南</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个人生活–社交距离</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bookmarkStart w:id="15" w:name="_Toc40439855"/>
      <w:bookmarkStart w:id="16" w:name="_Toc40439523"/>
      <w:r>
        <w:rPr>
          <w:rFonts w:hint="eastAsia" w:ascii="仿宋" w:hAnsi="仿宋" w:eastAsia="仿宋" w:cs="仿宋"/>
          <w:sz w:val="32"/>
          <w:szCs w:val="32"/>
        </w:rPr>
        <w:t>球员和球队官员在个人生活中，应参考以下指南：</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在户外时，尽量避免聚集</w:t>
      </w:r>
      <w:bookmarkEnd w:id="15"/>
      <w:bookmarkEnd w:id="16"/>
      <w:r>
        <w:rPr>
          <w:rFonts w:hint="eastAsia" w:ascii="仿宋" w:hAnsi="仿宋" w:eastAsia="仿宋" w:cs="仿宋"/>
          <w:sz w:val="32"/>
          <w:szCs w:val="32"/>
        </w:rPr>
        <w:t>。</w:t>
      </w:r>
      <w:bookmarkStart w:id="17" w:name="_Toc40439524"/>
      <w:bookmarkStart w:id="18" w:name="_Toc40439856"/>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步行或运动时，建议距离其他人至少1.5米以上。</w:t>
      </w:r>
      <w:bookmarkEnd w:id="17"/>
      <w:bookmarkEnd w:id="18"/>
      <w:bookmarkStart w:id="19" w:name="_Toc40439857"/>
      <w:bookmarkStart w:id="20" w:name="_Toc40439525"/>
    </w:p>
    <w:bookmarkEnd w:id="19"/>
    <w:bookmarkEnd w:id="20"/>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lang w:eastAsia="zh-CN"/>
        </w:rPr>
      </w:pPr>
      <w:bookmarkStart w:id="21" w:name="_Toc40439866"/>
      <w:bookmarkStart w:id="22" w:name="_Toc40439534"/>
      <w:r>
        <w:rPr>
          <w:rFonts w:hint="eastAsia" w:ascii="楷体" w:hAnsi="楷体" w:eastAsia="楷体" w:cs="楷体"/>
          <w:sz w:val="32"/>
          <w:szCs w:val="32"/>
          <w:lang w:eastAsia="zh-CN"/>
        </w:rPr>
        <w:t>（二）个人生活–手部消毒</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球员和球队官员应始终高度重视手部消毒的重要性，尽可能地做到经常对双手进行消毒，尤其是在以下情况时：</w:t>
      </w:r>
      <w:bookmarkEnd w:id="21"/>
      <w:bookmarkEnd w:id="22"/>
      <w:bookmarkStart w:id="23" w:name="_Toc40439535"/>
      <w:bookmarkStart w:id="24" w:name="_Toc40439867"/>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准备食物前后</w:t>
      </w:r>
      <w:bookmarkEnd w:id="23"/>
      <w:bookmarkEnd w:id="24"/>
      <w:bookmarkStart w:id="25" w:name="_Toc40439868"/>
      <w:bookmarkStart w:id="26" w:name="_Toc40439536"/>
      <w:r>
        <w:rPr>
          <w:rFonts w:hint="eastAsia" w:ascii="仿宋" w:hAnsi="仿宋" w:eastAsia="仿宋" w:cs="仿宋"/>
          <w:sz w:val="32"/>
          <w:szCs w:val="32"/>
        </w:rPr>
        <w:t>和吃东西之前。</w:t>
      </w:r>
      <w:bookmarkEnd w:id="25"/>
      <w:bookmarkEnd w:id="26"/>
      <w:bookmarkStart w:id="27" w:name="_Toc40439869"/>
      <w:bookmarkStart w:id="28" w:name="_Toc40439537"/>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上完厕所和手受到污染的时候。</w:t>
      </w:r>
      <w:bookmarkEnd w:id="27"/>
      <w:bookmarkEnd w:id="28"/>
      <w:bookmarkStart w:id="29" w:name="_Toc40439538"/>
      <w:bookmarkStart w:id="30" w:name="_Toc40439870"/>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如果手没有明显脏污时，使用手部消毒液或免洗消毒凝胶。</w:t>
      </w:r>
      <w:bookmarkEnd w:id="29"/>
      <w:bookmarkEnd w:id="30"/>
      <w:bookmarkStart w:id="31" w:name="_Toc40439539"/>
      <w:bookmarkStart w:id="32" w:name="_Toc40439871"/>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手部明显脏污时，应使用肥皂和热水洗手保持手部清洁。</w:t>
      </w:r>
      <w:bookmarkEnd w:id="31"/>
      <w:bookmarkEnd w:id="32"/>
      <w:bookmarkStart w:id="33" w:name="_Toc40439872"/>
      <w:bookmarkStart w:id="34" w:name="_Toc40439540"/>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用水和肥皂清洗后,使用一次性纸巾擦干。</w:t>
      </w:r>
      <w:bookmarkEnd w:id="33"/>
      <w:bookmarkEnd w:id="34"/>
      <w:bookmarkStart w:id="35" w:name="_Toc40439873"/>
      <w:bookmarkStart w:id="36" w:name="_Toc40439541"/>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如果没有纸巾，应使用指定的毛巾，在毛巾变湿时及时更换。</w:t>
      </w:r>
      <w:bookmarkEnd w:id="35"/>
      <w:bookmarkEnd w:id="36"/>
      <w:bookmarkStart w:id="37" w:name="_Toc40439542"/>
      <w:bookmarkStart w:id="38" w:name="_Toc40439874"/>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避免频繁触摸脸部，特别是眼睛、嘴和鼻子。</w:t>
      </w:r>
      <w:bookmarkEnd w:id="37"/>
      <w:bookmarkEnd w:id="38"/>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lang w:eastAsia="zh-CN"/>
        </w:rPr>
      </w:pPr>
      <w:bookmarkStart w:id="39" w:name="_Toc40439877"/>
      <w:bookmarkStart w:id="40" w:name="_Toc40439545"/>
      <w:r>
        <w:rPr>
          <w:rFonts w:hint="eastAsia" w:ascii="楷体" w:hAnsi="楷体" w:eastAsia="楷体" w:cs="楷体"/>
          <w:sz w:val="32"/>
          <w:szCs w:val="32"/>
          <w:lang w:eastAsia="zh-CN"/>
        </w:rPr>
        <w:t>（三）个人生活-口罩的佩戴</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球员和球队官员须全程做好个人防护，主要原则如下：</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在密闭空间内，应全程佩戴口罩。如在户外，应尽量始终佩戴口罩。具体的口罩佩戴政策，以国家和属地防疫部门的最新规定为准。</w:t>
      </w:r>
      <w:bookmarkEnd w:id="39"/>
      <w:bookmarkEnd w:id="40"/>
      <w:bookmarkStart w:id="41" w:name="_Toc40439546"/>
      <w:bookmarkStart w:id="42" w:name="_Toc40439878"/>
    </w:p>
    <w:bookmarkEnd w:id="41"/>
    <w:bookmarkEnd w:id="42"/>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bookmarkStart w:id="43" w:name="_Toc40439547"/>
      <w:bookmarkStart w:id="44" w:name="_Toc40439879"/>
      <w:r>
        <w:rPr>
          <w:rFonts w:hint="eastAsia" w:ascii="仿宋" w:hAnsi="仿宋" w:eastAsia="仿宋" w:cs="仿宋"/>
          <w:sz w:val="32"/>
          <w:szCs w:val="32"/>
          <w:lang w:val="en-US" w:eastAsia="zh-CN"/>
        </w:rPr>
        <w:t>2.</w:t>
      </w:r>
      <w:r>
        <w:rPr>
          <w:rFonts w:hint="eastAsia" w:ascii="仿宋" w:hAnsi="仿宋" w:eastAsia="仿宋" w:cs="仿宋"/>
          <w:sz w:val="32"/>
          <w:szCs w:val="32"/>
        </w:rPr>
        <w:t>佩戴口罩须紧贴面部。不应该用手触摸或移动口罩外面。口罩应同时遮蔽口鼻。当口罩变湿或被分泌物污染后，应立即更换。使用过的口罩应妥善丢弃，更换口罩后应手部消毒。</w:t>
      </w:r>
      <w:bookmarkEnd w:id="43"/>
      <w:bookmarkEnd w:id="44"/>
      <w:bookmarkStart w:id="45" w:name="_Toc40439880"/>
      <w:bookmarkStart w:id="46" w:name="_Toc40439548"/>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如果不能佩戴口罩，更重要的是要在咳嗽和打喷嚏时注意遮挡的礼节。</w:t>
      </w:r>
      <w:bookmarkEnd w:id="45"/>
      <w:bookmarkEnd w:id="46"/>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（四）个人生活–其他注意事项</w:t>
      </w:r>
      <w:bookmarkStart w:id="47" w:name="_Toc40439888"/>
      <w:bookmarkStart w:id="48" w:name="_Toc40439556"/>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多喝水，并遵循富含维生素的营养膳食。</w:t>
      </w:r>
      <w:bookmarkEnd w:id="47"/>
      <w:bookmarkEnd w:id="48"/>
      <w:bookmarkStart w:id="49" w:name="_Toc40439889"/>
      <w:bookmarkStart w:id="50" w:name="_Toc40439557"/>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注意保持呼吸道和黏膜温暖。</w:t>
      </w:r>
      <w:bookmarkEnd w:id="49"/>
      <w:bookmarkEnd w:id="50"/>
      <w:r>
        <w:rPr>
          <w:rFonts w:hint="eastAsia" w:ascii="仿宋" w:hAnsi="仿宋" w:eastAsia="仿宋" w:cs="仿宋"/>
          <w:sz w:val="32"/>
          <w:szCs w:val="32"/>
        </w:rPr>
        <w:t xml:space="preserve">              </w:t>
      </w:r>
      <w:bookmarkStart w:id="51" w:name="_Toc40439890"/>
      <w:bookmarkStart w:id="52" w:name="_Toc40439558"/>
    </w:p>
    <w:bookmarkEnd w:id="51"/>
    <w:bookmarkEnd w:id="52"/>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注意保暖及空调使用，预防感冒。</w:t>
      </w:r>
      <w:bookmarkEnd w:id="1"/>
      <w:bookmarkEnd w:id="2"/>
    </w:p>
    <w:p>
      <w:pPr>
        <w:pageBreakBefore w:val="0"/>
        <w:kinsoku/>
        <w:wordWrap/>
        <w:overflowPunct/>
        <w:topLinePunct w:val="0"/>
        <w:bidi w:val="0"/>
        <w:snapToGrid/>
        <w:spacing w:line="560" w:lineRule="exact"/>
        <w:textAlignment w:val="auto"/>
        <w:rPr>
          <w:rFonts w:hint="eastAsia" w:ascii="仿宋" w:hAnsi="仿宋" w:eastAsia="仿宋" w:cs="仿宋"/>
          <w:b/>
          <w:sz w:val="32"/>
          <w:szCs w:val="32"/>
        </w:rPr>
      </w:pPr>
    </w:p>
    <w:p>
      <w:pPr>
        <w:pageBreakBefore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sz w:val="32"/>
          <w:szCs w:val="32"/>
        </w:rPr>
      </w:pPr>
    </w:p>
    <w:p>
      <w:pPr>
        <w:pageBreakBefore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第三章  裁判防疫工作指南</w:t>
      </w:r>
    </w:p>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p>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一、适用对象</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（一）本指南适用对象，为赛事全体裁判人员，包括技术代表、裁判长、裁判员。</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（二）本次赛事，仅允许来自于低风险地区、且在赛事官方报到日之前14天内一直停留在低风险地区的裁判人员参加执法。</w:t>
      </w:r>
    </w:p>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二、组织管理</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裁判人员在组委会领导和管理下开展工作，严格遵守国家有关防疫管理规定，严格执行总决赛疫情防控相关工作要求与程序。</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根据赛事疫情防控管理要求，五人制与三人制裁判组须各指定1名防疫联络员，该防疫联络员应为各自竞赛项目的裁判长。</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裁判组防疫联络员，配合赛事疫情防控工作领导小组、疫情防控工作执行小组、组委会医务官的工作，统一负责裁判组在竞赛、生活及防疫工作的协调管理，汇总健康数据按时上报，组织配合防疫检测等。</w:t>
      </w:r>
    </w:p>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三、工作程序与要求</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（一）出发赛区前</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1.裁判人员须在出发前往赛区前、自行接受至少一次核酸检测。本次核酸检测结果的有效日期，须包含裁判员报到日期。只有本次核酸检测结果为阴性者，方可前往赛区。</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在裁判人员自行进行核酸检测、结果呈阴性的基础上，裁判人员还须在出发前，将本人居住地的“健康码”状态，以及过去14天内的轨迹证明（从赛事官方报到日期算起，向前14天），及时提交至组委会。裁判人员提供的各类信息，必须真实、准确、完整、有效。</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（二）到达赛区</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1.裁判人员须在赛事开赛前至少1天抵达赛区报到。</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根据当地疫情防控要求，在确认需要抵达后接受核酸检测的情况下，裁判人员如乘坐公共交通工具（高铁/飞机等）抵达赛事官方接待酒店，应先接受组委会统一安排的核酸检测。在检测结果未产生前，不得离开驻地或擅自接触其他人员。</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根据当地疫情防控要求，在确认需要抵达后接受核酸检测的情况下，如自驾抵达赛区，经疫情防控工作领导小组与组委会医务官，共同核验之前进行过的、尚在有效期内的核酸检测报告，并共同批准后，可不再接受核酸检测。但在其他裁判人员核酸检测结果产生前，仍不得离开驻地或擅自接触需接受检测的人员。</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（三）赛前准备工作期间</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1.裁判人员在赛前准备工作期间参加相关会议、培训、检查场地、测试执法装备等活动时，所有人员必须全程佩戴口罩。</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2.裁判人员仅在身体训练、实践训练和测试执法装备等身体运动过程中，可不佩戴口罩。</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（四）比赛期间</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比赛日担任执法比赛的裁判，从驻地出发至进入比赛场地裁判员休息室，以及赛后从裁判员休息室出发至返回驻地，必须全程佩戴口罩。裁判员因赛事工作需要、赴运动员休息室完成装备检查等与球队人员密切接触的相关工作时，须佩戴口罩。</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2.执法比赛的裁判人员，从驻地出发至赛后返回驻地，应全程佩戴口罩。</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参加户外训练的裁判人员，从驻地出发至进入训练场地，训练后从场地出发至返回驻地，必须全程佩戴口罩。在进入训练场地前，由防疫联络人或其授权人员负责对所有训练人员进行体温监测，体温合格方可入场训练。</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4.裁判人员在参加会议、其它官方活动以及与组委会工作人员接触时，必须全程佩戴口罩。</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5.比赛期间的裁判组比赛总结会，原则上以小组总结形式进行。</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参加比赛和训练的裁判人员，出行全过程中不得单独行动，不得与无关人员接触。在进入比赛和训练场前，应接受场地工作人员进行的体温检测，体温合格后方可进入，且所有裁判人员入场时，须用本人手机“健康码”小程序扫描指定的场区所在地二维码。</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（五）离会及中途报到</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比赛执法任务结束后，裁判人员须按照赛事规定的时间离开驻地，返回各自所在的居住地。返回后须遵守所在居住地的防疫规定，严格执行相关防疫管理措施。</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赛事工作需要，在赛事举办进行中、抵达赛区报到的裁判人员，应由裁判组防疫联络员提前向疫情防控工作执行小组提出申请，在获得书面批准的情况下，方允许中途报到。中途报到的裁判人员须遵守的具体相关要求，与开赛前报到的裁判人员相同。</w:t>
      </w:r>
    </w:p>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四、管理规定</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（一）参加比赛执法工作的每位裁判员，在赛事期间每天早中晚三次、自行进行本人的体温检测并记录测温结果。三次自行测温的完成时间节点，分别是：</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1.第一次，上午9点前。</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2.第二次，中午12点前。</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3.第三次，晚上9点前。</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每次测温后5分钟内，本人应将自己的测温情况，及时提交至所属裁判组的防疫联络员处。由防疫联络员及时向疫情防控工作执行小组，以及组委会医务官通报所有裁判人员的测温情况与信息。</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（二）如任何裁判人员体温超过37.3度，须第一时间报告疫情防控工作领导小组和执行小组，并按照疫情防控部门要求采取相应措施。</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裁判人员在赛区工作期间，须统一餐饮、统一住宿、统一使用组委会提供的车辆出行。原则上不允许裁判人员离开驻地，严禁任何裁判人员擅自外出。确因社交、工作、特殊情况需要外出的，须通过防疫联络员按程序、向疫情防控工作执行小组提出申请，经审核批准后方可外出，并须始终遵守相关防疫措施规定。</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裁判人员在比赛工作期间，应尽量减少与各类人员的接触，不得与无关人员接触。裁判人员的服装装备、个人器材或设备、食品、饮用水、卫浴或洗涤用品、个人用品等，不得交叉使用。所有人员须重视并做好个人卫生与消毒工作。</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（五）裁判人员如出现疑似症状，应立即向疫情防控工作领导小组和执行小组分别报告，并严格依照疫情防控部门要求执行相应措施。</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（六）裁判人员出现违反或不执行防疫规定、不服从防疫管理的情况，组委会将视情况进行处罚。情节严重的，将直接移交当地疫情防控部门或公安部门处理。</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p>
    <w:p>
      <w:pPr>
        <w:pageBreakBefore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第四章 组委会医务防疫工作指南</w:t>
      </w:r>
    </w:p>
    <w:p>
      <w:pPr>
        <w:pageBreakBefore w:val="0"/>
        <w:kinsoku/>
        <w:wordWrap/>
        <w:overflowPunct/>
        <w:topLinePunct w:val="0"/>
        <w:bidi w:val="0"/>
        <w:snapToGrid/>
        <w:spacing w:line="560" w:lineRule="exact"/>
        <w:textAlignment w:val="auto"/>
        <w:rPr>
          <w:rFonts w:hint="eastAsia" w:ascii="仿宋" w:hAnsi="仿宋" w:eastAsia="仿宋" w:cs="仿宋"/>
          <w:sz w:val="32"/>
          <w:szCs w:val="32"/>
        </w:rPr>
      </w:pPr>
    </w:p>
    <w:p>
      <w:pPr>
        <w:pageBreakBefore w:val="0"/>
        <w:kinsoku/>
        <w:wordWrap/>
        <w:overflowPunct/>
        <w:topLinePunct w:val="0"/>
        <w:bidi w:val="0"/>
        <w:snapToGrid/>
        <w:spacing w:line="560"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一、人员选派</w:t>
      </w:r>
    </w:p>
    <w:p>
      <w:pPr>
        <w:pageBreakBefore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（一）组委会设立组委会医务官，建议由属地政府的公立医疗机构负责人，或赛事组委会医务总负责人担任。</w:t>
      </w:r>
    </w:p>
    <w:p>
      <w:pPr>
        <w:pageBreakBefore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组委会医务官应入驻赛事官方接待酒店内，配合疫情防控工作领导小组、完成防疫和赛事医疗服务的相关工作，并且在相关防疫政策制定、医疗资源协调、医疗物资准备、防疫应急事件处置等方面，开展具体实施工作。</w:t>
      </w:r>
    </w:p>
    <w:p>
      <w:pPr>
        <w:pageBreakBefore w:val="0"/>
        <w:kinsoku/>
        <w:wordWrap/>
        <w:overflowPunct/>
        <w:topLinePunct w:val="0"/>
        <w:bidi w:val="0"/>
        <w:snapToGrid/>
        <w:spacing w:line="560"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二、赛前准备工作</w:t>
      </w:r>
    </w:p>
    <w:p>
      <w:pPr>
        <w:pageBreakBefore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组委会医务官配合赛事疫情防控工作领导小组，完成赛事疫情防控机构的组建、机制的确立、防疫应急政策的制订、防疫工作人员培训、疫情防控区域布置、对入驻赛区人员进行核酸检测的协调等相关工作。</w:t>
      </w:r>
    </w:p>
    <w:p>
      <w:pPr>
        <w:pageBreakBefore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组委会医务官与组委会、各球队、裁判员、技术代表等各细分工作组，始终保持密切沟通。原则上，提前3天（72小时）获取球队、裁判员、比赛监督、嘉宾、媒体记者、工作人员的行程安排和入住酒店信息。</w:t>
      </w:r>
    </w:p>
    <w:p>
      <w:pPr>
        <w:pageBreakBefore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（三）组委会医务官负责监督并要求酒店，按照赛事疫情防控工作方案的要求与规定、做好各项准备工作。</w:t>
      </w:r>
    </w:p>
    <w:p>
      <w:pPr>
        <w:pageBreakBefore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根据当地疫情防控要求，在确认需要进行抵达后核酸检测的情况下，组委会医务官负责按照球队、裁判员、技术代表、嘉宾、媒体记者、工作人员抵达赛区的时间，编排相关人员在抵达后接受核酸检测的顺序。</w:t>
      </w:r>
    </w:p>
    <w:p>
      <w:pPr>
        <w:pageBreakBefore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（五）组委会医务官应配合组委会在所有球队参赛人员到达赛区前，进行疫情防控工作演练，及时发现演练流程中出现的问题，调整并完善流程。</w:t>
      </w:r>
    </w:p>
    <w:p>
      <w:pPr>
        <w:pageBreakBefore w:val="0"/>
        <w:kinsoku/>
        <w:wordWrap/>
        <w:overflowPunct/>
        <w:topLinePunct w:val="0"/>
        <w:bidi w:val="0"/>
        <w:snapToGrid/>
        <w:spacing w:line="560"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三、赛事进行期间日常工作</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（一）核酸检测工作</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1.工作内容：根据当地疫情防控要求，在确认需要进行抵达后核酸检测的情况下，当各类赛事人员乘坐高铁或飞机等公共交通工具抵达赛区后，须在指定地点错时接受一次核酸检测。</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在核酸检测结果产生前，所有人员须留在自己的房间内。赛区医务官须全程监督核酸检测过程，并做好报告收集汇总工作。</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接受核酸检测的人员，在检测结果呈阴性的前提下，后方可进行或参加赛事相关活动。如出现检测结果呈阳性的情况，组委会医务官须立即上报地方疫情防控部门，以及赛事疫情防控工作领导小组。</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2.涉及人员：球队所有参赛人员、裁判员、技术代表、嘉宾、媒体、工作人员。</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3.配合人员：球队队医、赛事防疫工作人员、各防疫联络员。</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4.工作时间及地点：涉及人员抵达赛区后，在指定地点与计划时段内进行。 </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（二）各类赛事人员每日健康报告审核工作</w:t>
      </w:r>
    </w:p>
    <w:p>
      <w:pPr>
        <w:pageBreakBefore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1.涉及人员：球队所有参赛人员、裁判员、技术代表、嘉宾、媒体、工作人员。</w:t>
      </w:r>
    </w:p>
    <w:p>
      <w:pPr>
        <w:pageBreakBefore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2.配合人员：球队队医、赛事防疫工作人员、各防疫联络员。</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3.工作时间：每日三次，对应的三个时段分别是：</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（1）第一次，上午9点前。</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（2）第二次，中午12点前。</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（3）第三次，晚上9点前。</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4.工作内容：督促各球队、裁判员、技术代表、嘉宾、媒体、工作人员等，在规定时间内完成对相关人员的体温检测或自行体温检测，以及情况报告提交程序。</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组委会医务官须对各类赛事人员的每日体温检测信息进行动态跟踪与审核。如发现体温异常者（超过37.3度），须第一时间报告疫情防控工作领导小组，并按照地方疫情防控部门要求采取相应措施。</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（三）训练场疫情防控工作</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1.组委会医务官有权要求场馆在训练前后、及时对训练器材、设施和功能房进行彻底的消毒，并做到一训一消毒。</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组委会医务官负责监督并要求各球队队医，对本队参加训练的球员和球队官员进行常态化体温检测。若有人员出现疑似症状，包括发热（体温超过37.3度）、干咳、乏力、鼻塞、流涕、咽痛、肌痛和腹泻等症状，须由组委会医务官和赛事防疫工作人员，第一时间将疑似病例带至隔离室，进行初步处置。同时，由组委会医务官向赛事疫情防控工作领导小组、属地疫情防控部门及时报告，联系相关部门，送当地发热门诊处理。</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3.发生上述情况后，所有其余人员，须在组委会医务官的指导下，佩戴口罩，及时有序离开训练场。</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4.组委会医务官同时应配合属地疫情防控部门，做好与确诊者密切接触者的筛查和通知协调工作。所有与疑似病例有过密切接触者，将接受隔离观察。</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5.组委会医务官应指导场馆对出现疑似症状的训练场进行彻底消毒。</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（四）赛事官方接待酒店疫情防控工作</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1.组委会医务官应配合组委会，确保赛事官方接待酒店在比赛期间，全程按照相关疫情防控规定进行严格管理，并监督酒店严格执行了各项疫情防控工作措施。</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2.组委会医务官应配合疫情防控工作执行小组，完成新入住酒店的各类赛事人员、访客，以及及其他需要临时出入酒店隔离区等应急事件的防疫安全审核工作。</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3.组委会医务官负责与球队队医，共同监督酒店根据各球队的日程安排、对球队房间、用餐地点、使用过的会议室等区域进行统一的打扫和消毒。</w:t>
      </w:r>
    </w:p>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四、比赛日工作</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（一）开赛前疫情防控工作</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1.组委会医务官应在赛前联席会上，与各球队提前做好充分沟通，确保每场比赛开始前，避免人群聚集，且各类赛事相关人员在进入体育场前，完成体温检测，并用本人手机“健康码”小程序扫描指定的场区所在地的二维码。 </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2.组委会医务官应配合组委会做好疏导和管理工作，应严格按照要求规定，确保相关区域（包括球员通道、场地内外）无任何非相关人员在内。</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3.所有因工作需要而进入场地的工作人员，应在组委会医务官或其授权代表的监督下，在进入体育场前，完成体温检测，并用本人手机“健康码”小程序扫描指定的场区所在地的二维码。</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（二）比赛中防疫要求</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组委会医务官应协调并落实组委会准备好一次性纸袋，并由组委会医务官或其授权代表，提前分发至各参赛球队队医处。比赛中，球队参赛人员如确因身体原因需要吐痰或呕吐等，须使用一次性纸袋收纳，确保无交叉感染的情况发生。</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组委会医务官须配合组委会监督替补席区域，确保替补席区域仅允许替补球员、持证的替补席官员、转播机位人员和医护人员停留。组委会工作人员和其他持内场证件的人员，应远离替补席区域。替补席就座人员和替补席区域内的其他人员，须全程佩戴口罩。</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组委会医务官须配合组委会监督持证记者拍摄和采访工作。记者在进入体育场前，须完成体温检测，并用本人手机“健康码”小程序扫描指定的场区所在地的二维码。拍摄时，持证记者仅能在球门后的广告板后进行拍摄，不能近距离拍摄球员，或出现在角球区、边线和球员通道附近。记者应全程佩戴口罩。采访时记者须与被采访者间隔距离保持最少3米以上，鼓励使用加长版支架、话筒等工具，扩大采访人与被采访人的距离。</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（三）比赛后防疫要求</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1.比赛结束后，组委会医务官应指导组委会安排参赛球队人员、裁判员、技术代表、嘉宾、媒体、工作人员，及时、错时、安全、有序地离场，并且避免人群离场时出现过多聚集。</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2.人员离场后，组委会医务官应监督场地方及时对场地、功能房、器材设施、相关设施设备等进行全面彻底的消毒，并及时清理比赛期间产生的各类垃圾。</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（四）比赛日应急处理方案</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若有人员出现疑似症状，包括发热（体温超过37.3度）、干咳、乏力、鼻塞、流涕、咽痛、肌痛和腹泻等症状，必须由组委会医务官和专业防疫人员，将疑似病例迅速带至隔离室，进行初步处置。同时，组委会医务官负责及时向疫情防控工作领导小组，以及属地疫情防控部门报告，联系相关部门，送当地发热门诊处理。</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2.发生上述情况后，组委会医务官应指导所有其余人员佩戴口罩，有序离开场馆，并监督指导场地方对场地、疑似病例使用或接触过的各类物资与物品，进行全面消毒。</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p>
    <w:p>
      <w:pPr>
        <w:pageBreakBefore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第五章 新闻媒体记者防疫指南</w:t>
      </w:r>
    </w:p>
    <w:p>
      <w:pPr>
        <w:pageBreakBefore w:val="0"/>
        <w:kinsoku/>
        <w:wordWrap/>
        <w:overflowPunct/>
        <w:topLinePunct w:val="0"/>
        <w:bidi w:val="0"/>
        <w:snapToGrid/>
        <w:spacing w:line="560" w:lineRule="exact"/>
        <w:jc w:val="center"/>
        <w:textAlignment w:val="auto"/>
        <w:rPr>
          <w:rFonts w:hint="eastAsia" w:ascii="仿宋" w:hAnsi="仿宋" w:eastAsia="仿宋" w:cs="仿宋"/>
          <w:b/>
          <w:sz w:val="32"/>
          <w:szCs w:val="32"/>
        </w:rPr>
      </w:pPr>
    </w:p>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一、新闻与采访工作防疫总体要求</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（一）媒体人员限制</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1.根据卫生防疫要求，采访次数和进入体育场的媒体人数，将被最小化。具体数量要求，由组委会媒体板块负责人确定，理论上每场比赛最多不超过6名记者。</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2.所有媒体人员在同一场比赛进行过程中，不得更换至其他场次比赛进行得场地。</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（二）媒体人员核酸检测</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所有报名参与赛事采访工作的媒体记者，须在前往赛区前，自行在国家认证的可进行核酸检测的医疗机构，接受核酸检测。只有核酸检测结果呈阴性的媒体记者，可以报名采访赛事。核酸检测结果有效日期，须包含赛事官方报到日期。本次核酸检测结果，是本次总决赛采访报名资料的重要组成部分，须及时提交至组委会。</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在媒体记者自行进行核酸检测、结果呈阴性的基础上，媒体记者还须在出发前将本人居住地的“健康码”状态，以及过去14天内的轨迹证明（从赛事官方报到日期算起，向前14天），及时提交至组委会。媒体记者提供的各类信息，必须真实、准确、完整、有效。</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3.本次赛事，仅接受来自于低风险地区，且在赛事官方报到日之前14天内一直停留在低风险地区的媒体记者采访报道。</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根据当地疫情防控要求，在确认抵达后需要进行核酸检测的情况下，媒体记者须在抵达后接受核酸检测。这次核酸检测结果呈阴性者，方可在全程严格遵守赛事疫情防控工作各项制度、措施、规定与要求的基础上，进行采访报道。</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5.媒体记者在赛事期间一旦中途离开赛区，不得再次返回赛区继续采访报道。</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（三）赛事新闻管理工作组防疫准备</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1.赛事进行期间，赛事新闻管理工作组依据安全距离，间隔设置好每一名场内媒体记者的工作位。</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2.赛事新闻管理工作组将在媒体记者工作区域提供口罩、消毒棉片、免洗消毒凝胶、一次性纸巾等必要的卫生防护用品，并在每个区域配备专用的口罩回收桶和垃圾桶。</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3.赛事新闻管理工作组应做好媒体记者工作区域内的定期消毒工作。</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赛事新闻管理工作组须提供媒体记者专用的卫生间，与球队、裁判员、技术代表、嘉宾、工作人员的卫生间分开。媒体记者专用的卫生间，在赛前和中场休息时应进行清洗消毒。卫生间内提供洗手液、一次性纸巾、口罩回收桶及垃圾桶。</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（四）媒体记者自我防护</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1.所有进入体育场内的媒体记者必须全程佩戴口罩及一次性手套。</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2.媒体记者在进入体育场前，完成体温检测，并用本人手机“健康码”小程序扫描指定的场区所在地的二维码。</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3.比赛期间，所有媒体记者须严格遵守时间表安排，在指定范围内进行媒体活动，不得随意移动位置。</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4.场内的媒体记者必须最大程度地缩减在体育场内的停留时间，尽可能缩短通行距离，赛后有序离场。</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5.媒体记者应避免聚集，并与他人保持至少2米以上的安全距离。</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6.媒体记者必须做好手部及使用设备的清洁和消毒。</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7.媒体记者应尽可能地通过电话、电邮或其他通讯手段进行沟通，减少不必要的面对面交谈。</w:t>
      </w:r>
    </w:p>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二、新闻与采访各流程防疫要求</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（一）前往赛区</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1.媒体记者乘坐交通工具前往赛区时，应尽量选择最快抵达赛区的方式，建议直飞或直达，减少周转。</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2.媒体记者应提前咨询航空公司或高铁站，避免与国内外高、中风险地区的人员乘坐同一航班或同处同一车厢。</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3.媒体记者出行期间在任何场合（包括但不限于前往机场或火车站、候机或候车、乘坐交通工具等）均应佩戴口罩，以及一次性手套，随身携带消毒纸巾进行必要消毒。</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4.媒体记者全程应尽量避免触碰公用设施，勤洗手，与他人保持安全距离。</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5.媒体记者应提前确认出发地健康码和总决赛所在地健康码均为无异常，且本人在出发前14天内无任何身体不适，体温正常。</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（二）官方训练</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球队官方适应训练，安排在比赛正式开始之前进行。除组委会官方媒体外，不对其他媒体记者开放。</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（三）赛前联席会</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赛前联席会在组委会指定的酒店会议室进行，除官方媒体外，不对其他媒体记者开放。</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（四）媒体入场</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1.进入体育场时，媒体记者须通过健康码和体温检测等方式证明个人健康状况无异常，并承诺遵守防疫规定。</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2.媒体记者通过入场检测后，方可入场。建议媒体记者在入场前使用免洗消毒用品洗手。如入场过程中经检查发现问题，则由组委会医务官根据实际情况，决定是否准许其入场，媒体记者应服从管理。</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3.体育场新闻中心在疫情防控期间暂时关闭。</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（五）瞬间采访及专访</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1.开幕式、闭幕式及颁奖仪式、比赛开始前与结束后，在场地内的瞬间采访，可有条件地开展。媒体记者应全程佩戴口罩，受访对象可选择不佩戴口罩，但随行的组委会赛事新闻管理组工作人员必须佩戴。</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2.在赛事新闻管理组安排好专访的情况下，媒体记者在专访时应全程佩戴口罩，受访对象可选择不佩戴口罩。</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3.无论是瞬间采访还是专访，媒体记者与受访人员均应保持至少3米以上的社交距离，鼓励使用加长话筒支架，扩大采访人与被采访人的距离。</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4.在赛事新闻管理组的整体统筹与安排下，应将媒体记者的采访数量控制在合理范围内。</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p>
    <w:p>
      <w:pPr>
        <w:pageBreakBefore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第六章 赛场工作人员防疫指南</w:t>
      </w:r>
    </w:p>
    <w:p>
      <w:pPr>
        <w:pageBreakBefore w:val="0"/>
        <w:kinsoku/>
        <w:wordWrap/>
        <w:overflowPunct/>
        <w:topLinePunct w:val="0"/>
        <w:bidi w:val="0"/>
        <w:snapToGrid/>
        <w:spacing w:line="560" w:lineRule="exact"/>
        <w:ind w:firstLine="643" w:firstLineChars="200"/>
        <w:textAlignment w:val="auto"/>
        <w:rPr>
          <w:rFonts w:hint="eastAsia" w:ascii="仿宋" w:hAnsi="仿宋" w:eastAsia="仿宋" w:cs="仿宋"/>
          <w:b/>
          <w:sz w:val="32"/>
          <w:szCs w:val="32"/>
        </w:rPr>
      </w:pPr>
    </w:p>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一、赛场工作人员构成及职责</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（一）捡球员：负责比赛用球的捡起与更换，位于场地周围篮板后，应为受过培训的18岁以上成年人。</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（二）担架员：协助受伤球员下场，位于替补席后方，应为受过培训的18岁以上成年人。</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（三）医务人员：负责现场运动员的紧急救治，位于场边，应为当地医疗部门认可的专业人员。</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（四）安保人员：负责各类赛事人员入场时的体温检测、安全检查、内场的秩序维护等工作，应为当地公安部门认可的专业人员。</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（五）工作团队人员：属于组委会下设的各个工作团队，负责现场的工作执行、管理协调等工作。</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b/>
          <w:sz w:val="32"/>
          <w:szCs w:val="32"/>
        </w:rPr>
      </w:pPr>
      <w:r>
        <w:rPr>
          <w:rFonts w:hint="eastAsia" w:ascii="黑体" w:hAnsi="黑体" w:eastAsia="黑体" w:cs="黑体"/>
          <w:b w:val="0"/>
          <w:bCs/>
          <w:sz w:val="32"/>
          <w:szCs w:val="32"/>
        </w:rPr>
        <w:t>二、赛场工作人员防疫总体要求</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（一）个人卫生及防护</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1.在体育场内必须全程佩戴口罩。佩戴口罩前先进行手部消毒，摘戴口罩时不要用手触碰口罩内外表面。</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2.触摸公共设施或他人物品后，须及时洗手，可随身携带免洗消毒凝胶，使用消毒凝胶后揉搓双手，进行手部消毒，建议佩戴一次性手套。</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3.日常注意均衡膳食，劳逸结合，适度运动以增强抵抗力。</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4.非工作时间尽量不去人员密集或通风不畅的场所，如饭店、商场等。</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（二）自我检测</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1.每日进行自我健康监测，测量体温并做好记录。出现发热、咳嗽等可疑症状时，须第一时间报告疫情防控工作执行小组，及时留观或就医，杜绝带病上岗。</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2.所有工作人员在进入体育场前，必须完成体温检测，并用本人手机“健康码”小程序扫描指定的场区所在地的二维码。</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（三）工作环境清洁与消毒</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对个人使用的设备进行定期消毒，做好办公区域和休息区域的环境清洁，落实垃圾分类回收，个人使用的垃圾桶应在每日下班或离开岗位前及时进行清理。</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（四）现场秩序维护</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1.严格听从各自岗位负责人的指挥，仅在各自工作区域内活动，避免场内聚集，如午休、聚众聊天等。</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2.错时、错峰就餐，做好餐（饮）具的清洁消毒，做到“一人一用一消毒”。</w:t>
      </w:r>
    </w:p>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三、各岗位工作人员防疫具体要求</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（一）捡球员、担架员防疫要求</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1.因直接接触比赛用球和担架，捡球员及担架员在工作过程中必须全程佩戴一次性防护手套。</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2.比赛开始前和中场休息时，捡球员和担架员应在组委会医务官或其授权代表的监督下，为全部比赛用球和担架进行消毒。</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（二）赛事医疗防疫要求</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1.因直接接触球员，赛事医疗人员在工作过程中必须全程佩戴一次性防护手套。</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2.赛事医疗人员必须保证在赛前对救护车，以及所有医疗设备进行消毒。如医疗设备在比赛过程中被使用，则必须在消毒后才可再次使用。</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（三）安保人员防疫要求</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1.全程佩戴口罩。</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2.全程佩戴一次性手套，并随身携带免洗消毒凝胶。</w:t>
      </w:r>
    </w:p>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四、赛场工作人员的管理</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1.赛场医务人员，由组委会医务官进行统筹管理，防疫工作和现场治疗接受球队队医的指导。</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2.赛场安保人员，由组委会安保负责人进行统筹管理，防疫工作接受组委会医务官的领导、接受赛场医务人员、球队队医的指导。</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3.其他赛场工作人员，由组委会各工作板块负责人进行统筹管理，防疫工作受组委会医务官的领导、接受赛场医务人员、球队队医的指导。</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p>
    <w:p>
      <w:pPr>
        <w:pageBreakBefore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第七章  赛事官方接待酒店防疫指南</w:t>
      </w:r>
    </w:p>
    <w:p>
      <w:pPr>
        <w:pageBreakBefore w:val="0"/>
        <w:kinsoku/>
        <w:wordWrap/>
        <w:overflowPunct/>
        <w:topLinePunct w:val="0"/>
        <w:bidi w:val="0"/>
        <w:snapToGrid/>
        <w:spacing w:line="560" w:lineRule="exact"/>
        <w:textAlignment w:val="auto"/>
        <w:rPr>
          <w:rFonts w:hint="eastAsia" w:ascii="仿宋" w:hAnsi="仿宋" w:eastAsia="仿宋" w:cs="仿宋"/>
          <w:b/>
          <w:sz w:val="32"/>
          <w:szCs w:val="32"/>
        </w:rPr>
      </w:pPr>
      <w:r>
        <w:rPr>
          <w:rFonts w:hint="eastAsia" w:ascii="仿宋" w:hAnsi="仿宋" w:eastAsia="仿宋" w:cs="仿宋"/>
          <w:b/>
          <w:sz w:val="32"/>
          <w:szCs w:val="32"/>
        </w:rPr>
        <w:t xml:space="preserve">    </w:t>
      </w:r>
    </w:p>
    <w:p>
      <w:pPr>
        <w:pageBreakBefore w:val="0"/>
        <w:kinsoku/>
        <w:wordWrap/>
        <w:overflowPunct/>
        <w:topLinePunct w:val="0"/>
        <w:bidi w:val="0"/>
        <w:snapToGrid/>
        <w:spacing w:line="560" w:lineRule="exact"/>
        <w:textAlignment w:val="auto"/>
        <w:rPr>
          <w:rFonts w:hint="eastAsia" w:ascii="仿宋" w:hAnsi="仿宋" w:eastAsia="仿宋" w:cs="仿宋"/>
          <w:b/>
          <w:sz w:val="32"/>
          <w:szCs w:val="32"/>
        </w:rPr>
      </w:pPr>
      <w:r>
        <w:rPr>
          <w:rFonts w:hint="eastAsia" w:ascii="仿宋" w:hAnsi="仿宋" w:eastAsia="仿宋" w:cs="仿宋"/>
          <w:b/>
          <w:sz w:val="32"/>
          <w:szCs w:val="32"/>
        </w:rPr>
        <w:t xml:space="preserve"> </w:t>
      </w:r>
      <w:r>
        <w:rPr>
          <w:rFonts w:hint="eastAsia" w:ascii="黑体" w:hAnsi="黑体" w:eastAsia="黑体" w:cs="黑体"/>
          <w:b w:val="0"/>
          <w:bCs/>
          <w:sz w:val="32"/>
          <w:szCs w:val="32"/>
        </w:rPr>
        <w:t xml:space="preserve">   </w:t>
      </w:r>
      <w:r>
        <w:rPr>
          <w:rFonts w:hint="eastAsia" w:ascii="黑体" w:hAnsi="黑体" w:eastAsia="黑体" w:cs="黑体"/>
          <w:b w:val="0"/>
          <w:bCs/>
          <w:kern w:val="44"/>
          <w:sz w:val="32"/>
          <w:szCs w:val="32"/>
        </w:rPr>
        <w:t>一、赛事</w:t>
      </w:r>
      <w:r>
        <w:rPr>
          <w:rFonts w:hint="eastAsia" w:ascii="黑体" w:hAnsi="黑体" w:eastAsia="黑体" w:cs="黑体"/>
          <w:b w:val="0"/>
          <w:bCs/>
          <w:sz w:val="32"/>
          <w:szCs w:val="32"/>
        </w:rPr>
        <w:t>官方接待酒店管理</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（一）原则上，赛事官方接待酒店在比赛期间为封闭式管理。酒店应配合组委会，</w:t>
      </w:r>
      <w:r>
        <w:rPr>
          <w:rFonts w:hint="eastAsia" w:ascii="仿宋" w:hAnsi="仿宋" w:eastAsia="仿宋" w:cs="仿宋"/>
          <w:bCs/>
          <w:sz w:val="32"/>
          <w:szCs w:val="32"/>
        </w:rPr>
        <w:t>专门成立酒店疫情防控工作小组。各类赛事相关人员，应</w:t>
      </w:r>
      <w:r>
        <w:rPr>
          <w:rFonts w:hint="eastAsia" w:ascii="仿宋" w:hAnsi="仿宋" w:eastAsia="仿宋" w:cs="仿宋"/>
          <w:sz w:val="32"/>
          <w:szCs w:val="32"/>
        </w:rPr>
        <w:t>尽量减少不必要的外出。</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（二）如情况需要确实需要外出，各类赛事相关人员应提前向疫情防控工作执行小组报备，并填写外出报备登记表。未报备而擅自外出的，一经查实，组委会将按照赛事规程内的相关纪律条款进行处罚。</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（三）酒店疫情防控工作小组，应全力做好球队生活的防疫和安保工作，做到酒店重要关口24小时有专人把守，重要区域有专人值班，重要位置有视频监控覆盖，保证入住人员的疫情防控安全。</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未获得疫情防控工作领导小组和执行小组批准，非本酒店入住人员不得进入酒店。如因特殊原因确实需要进入酒店，须获得疫情防控工作领导小组和执行小组批准，并向本酒店的疫情防控工作小组报备，由本酒店做好及时记录与及时消毒。</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（五）赛事官方接待酒店，应尽可能保证同一球队人员入住同一楼层，避免与其他人员接触。</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（六）酒店须对赛事各类相关人员使用的电梯，至少每4小时进行一次的消毒。</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（七）酒店内应设隔离室，并尽量配备防护服、N95口罩等专业防疫物资。</w:t>
      </w:r>
    </w:p>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二、酒店日常清洁维护</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（一）公共区域</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1.根据酒店的餐区、会议室等公共空间的实际使用情况，及时对其进行清洁和消毒工作,公共接触物品须格外加强及时消毒。</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2.在醒目位置张贴健康提示，并利用各种显示屏宣传新冠肺炎防控知识。</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3.及时清理垃圾，在公共场所醒目位置增设有害标识垃圾桶，用于投放使用过的口罩。</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4.洗手间应保持清洁和干爽，提供洗手液，保证水龙头等设施可正常使用。</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5.在电梯旁安放纸巾用于触碰电梯按钮，并张贴提示。</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6.在房间走廊、公共区域门口和医疗间放置免洗消毒凝胶。</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（二）房间内部</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1.在赛事各类人员抵达酒店前，对所有房间和个人用品进行深度清洁消毒。</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2.确保房间具有足够通风性，或者通过空调调节使空气不太干燥。</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3.条件允许的情况下，在每间房中放置免洗消毒凝胶或消毒洗手液。</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4.赛事各类人员入住期间，酒店应派符合健康标准的固定的专人打扫房间，或向球队装备管理人员提供足够的毛巾、卫生用品，由球队装备管理人员分配，以避免球队与保洁人员接触。</w:t>
      </w:r>
    </w:p>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三、酒店用餐安全管理</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（一）就餐区域与防疫要求</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1.酒店必须为不同就餐主体，提供独立且空间足够大的就餐区域，保证就餐环境卫生良好。</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2.赛事各类人员前来用餐前，酒店应准备足够的食物和饮品。</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3.赛事各类人员用餐期间，酒店员工在餐厅尽可能少出现，只有在每桌人员都离开餐厅后，才可以清理桌子，且必须保证酒店员工健康状况良好。</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（二）食品与饮品安全</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1.酒店餐饮应严格餐厅进货渠道管理，不得使用来源不明的家禽、家畜、海鲜、蔬菜等食材，严禁采购食用野生动物。</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2.加工环节严格生熟分离，保证食材新鲜，食物应彻底煮熟，以杀死任何可能引起食源性疾病的细菌。</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3.尽可能提供符合防疫标准的密封装饮品。</w:t>
      </w:r>
    </w:p>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四、酒店工作人员防疫保障</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（一）人员的选择与检测</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1.酒店工作人员的人数，应根据服务的人群数量酌情配备。为赛事各类人员直接服务的客房服务员和厨师等员工，在赛事期间应在酒店进行封闭管理。</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2.应坚决避免使用来自于中风险及高风险地区的人员群体，并由酒店自行做好本酒店工作人员的核酸检测等工作，确保人员上岗前健康安全。</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（二）工作人员防疫要求</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1.酒店工作人员人员，应事先接受专业的卫生防疫培训。</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2.酒店工作人员之间应尽可能少出现任何小于2米的物理接触，不聚众活动。</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3.酒店工作人员须遵守封闭管理原则，不得未经批准离开酒店隔离区域。</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4.酒店员工工作过程中应全部全程佩戴口罩，定期消毒双手，每日进行两次测温。如有感染症状，则立即进入隔离区域，并采取应急预案。</w:t>
      </w:r>
    </w:p>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五、酒店可提供的其他服务</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（一）球队服务</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1.球队的洗衣、用冰、用水、用大毛巾等日常需求，酒店必须在满足防疫要求的前提下进行，务必做好设备的日常清洁与消毒。</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2.理发等需与人近距离接触的服务采取预约的方式，由酒店协调符合防疫要求的工作人员提供服务。</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3.健身房根据时间表分流使用，每次使用前后必须对设施进行全面消毒。</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（二）快递接收</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酒店统一设立快递收纳点，由各球队领队负责统一领取属于本队的物品，不允许快递员与球队人员直接接触。</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（三）禁止事项</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禁止任何可能与未经检测外来人员直接接触的行为，例如收取外卖等。</w:t>
      </w:r>
    </w:p>
    <w:p>
      <w:pPr>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六、酒店疫情防控应急预案</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（一）酒店值班</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酒店必须设立医务室（或隔离室），安排专业防疫人员每日值班，在出现突发事态时进行应急处置，并协调酒店做好相应准备。</w:t>
      </w:r>
    </w:p>
    <w:p>
      <w:pPr>
        <w:pageBreakBefore w:val="0"/>
        <w:kinsoku/>
        <w:wordWrap/>
        <w:overflowPunct/>
        <w:topLinePunct w:val="0"/>
        <w:bidi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（二）出现症状者或确诊者</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如球队、裁判员、技术代表、嘉宾、媒体、组委会工作人员、酒店工作人员等在酒店，出现症状者或确诊者，操作指南如下：</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若出现疑似症状，包括发热（体温超过37.3度）、干咳、乏力、鼻塞、流涕、咽痛、肌痛和腹泻等症状，必须由组委会医务官和专业防疫人员，将疑似病例带至医务室（或隔离室），进行初步处置。同时，组委会医务官向赛事疫情防控工作领导小组，以及属地疫情防控部门及时报告，联系相关部门，送当地发热门诊处理。</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2.在出现上述情况下，酒店疫情防控小组应及时在酒店内进行全方位的消毒，尤其是疑似病例居住的楼层、餐厅、使用过的电梯等公共区域。</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如出现疑似病例或确认病例，组委会主要官员和工作人员，球队、裁判员、技术代表、嘉宾、媒体等人员，必须接受赛事疫情防控工作领导小组的统一调度安排。任何人均不得擅自行动，不得通过个人社交平台发布相关信息。</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p>
    <w:p>
      <w:pPr>
        <w:pageBreakBefore w:val="0"/>
        <w:kinsoku/>
        <w:wordWrap/>
        <w:overflowPunct/>
        <w:topLinePunct w:val="0"/>
        <w:bidi w:val="0"/>
        <w:snapToGrid/>
        <w:spacing w:line="560" w:lineRule="exact"/>
        <w:ind w:firstLine="640" w:firstLineChars="200"/>
        <w:jc w:val="center"/>
        <w:textAlignment w:val="auto"/>
        <w:rPr>
          <w:rFonts w:hint="eastAsia" w:ascii="方正小标宋简体" w:hAnsi="方正小标宋简体" w:eastAsia="方正小标宋简体" w:cs="方正小标宋简体"/>
          <w:b w:val="0"/>
          <w:bCs/>
          <w:kern w:val="24"/>
          <w:sz w:val="32"/>
          <w:szCs w:val="32"/>
        </w:rPr>
      </w:pPr>
      <w:r>
        <w:rPr>
          <w:rFonts w:hint="eastAsia" w:ascii="方正小标宋简体" w:hAnsi="方正小标宋简体" w:eastAsia="方正小标宋简体" w:cs="方正小标宋简体"/>
          <w:b w:val="0"/>
          <w:bCs/>
          <w:kern w:val="24"/>
          <w:sz w:val="32"/>
          <w:szCs w:val="32"/>
        </w:rPr>
        <w:t>第八章 疫情防控应急处置预案</w:t>
      </w:r>
    </w:p>
    <w:p>
      <w:pPr>
        <w:pStyle w:val="9"/>
        <w:pageBreakBefore w:val="0"/>
        <w:kinsoku/>
        <w:wordWrap/>
        <w:overflowPunct/>
        <w:topLinePunct w:val="0"/>
        <w:bidi w:val="0"/>
        <w:snapToGrid/>
        <w:spacing w:before="0" w:beforeAutospacing="0" w:after="0" w:afterAutospacing="0" w:line="560" w:lineRule="exact"/>
        <w:jc w:val="center"/>
        <w:textAlignment w:val="auto"/>
        <w:rPr>
          <w:rFonts w:hint="eastAsia" w:ascii="仿宋" w:hAnsi="仿宋" w:eastAsia="仿宋" w:cs="仿宋"/>
          <w:b/>
          <w:kern w:val="24"/>
          <w:sz w:val="32"/>
          <w:szCs w:val="32"/>
        </w:rPr>
      </w:pPr>
    </w:p>
    <w:p>
      <w:pPr>
        <w:pStyle w:val="23"/>
        <w:pageBreakBefore w:val="0"/>
        <w:kinsoku/>
        <w:wordWrap/>
        <w:overflowPunct/>
        <w:topLinePunct w:val="0"/>
        <w:bidi w:val="0"/>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为建立科学、高效的赛事疫情应急处置机制，快速、妥善控制疫情，防止扩散，做好后续防疫工作，特制定本应急预案。</w:t>
      </w:r>
    </w:p>
    <w:p>
      <w:pPr>
        <w:pStyle w:val="23"/>
        <w:pageBreakBefore w:val="0"/>
        <w:kinsoku/>
        <w:wordWrap/>
        <w:overflowPunct/>
        <w:topLinePunct w:val="0"/>
        <w:bidi w:val="0"/>
        <w:snapToGrid/>
        <w:spacing w:line="560" w:lineRule="exac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 xml:space="preserve">    一、基础保障</w:t>
      </w:r>
    </w:p>
    <w:p>
      <w:pPr>
        <w:pStyle w:val="23"/>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（一）组委会应在体育场、训练场、酒店设立隔离室，原则上在体育场、酒店均须安排专业防疫人员每日值班，在出现突发事件时进行应急处置，并协调有关方面做好相应准备。</w:t>
      </w:r>
    </w:p>
    <w:p>
      <w:pPr>
        <w:pStyle w:val="23"/>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（二）除常规会议制度外，一旦出现事关疫情的情况，必须及时召开紧急会议，研究落实处置方案。</w:t>
      </w:r>
    </w:p>
    <w:p>
      <w:pPr>
        <w:pStyle w:val="23"/>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二、出现情况后的处置流程及要求</w:t>
      </w:r>
    </w:p>
    <w:p>
      <w:pPr>
        <w:pStyle w:val="23"/>
        <w:pageBreakBefore w:val="0"/>
        <w:kinsoku/>
        <w:wordWrap/>
        <w:overflowPunct/>
        <w:topLinePunct w:val="0"/>
        <w:bidi w:val="0"/>
        <w:snapToGrid/>
        <w:spacing w:line="56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（一）如赛事各类人员在训练场训练或体育场比赛时出现症状者/确诊者</w:t>
      </w:r>
    </w:p>
    <w:p>
      <w:pPr>
        <w:pStyle w:val="23"/>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1.涉及方面：赛事疫情防控工作领导小组、赛事疫情防控工作执行小组、赛事组委会、属地疫情防控部门。</w:t>
      </w:r>
    </w:p>
    <w:p>
      <w:pPr>
        <w:pStyle w:val="23"/>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2.处置流程：</w:t>
      </w:r>
    </w:p>
    <w:p>
      <w:pPr>
        <w:pStyle w:val="23"/>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若出现疑似症状，包括发热（体温超过37.3度）、干咳、乏力、鼻塞、流涕、咽痛、肌痛和腹泻等症状，必须由组委会医务官和专业防疫人员将疑似病例带至隔离室，进行初步处置。同时，由组委会医务官向赛事疫情防控工作领导小组，以及属地疫情防控部门报告，联系相关部门，送当地发热门诊处理。</w:t>
      </w:r>
    </w:p>
    <w:p>
      <w:pPr>
        <w:pStyle w:val="23"/>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（2）在出现上述情况下，所有其余人员在组委会医务官的指导下，佩戴口罩，离开场馆。</w:t>
      </w:r>
    </w:p>
    <w:p>
      <w:pPr>
        <w:pStyle w:val="23"/>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（3）同时，组委会将配合属地疫情防控部门，做好与确诊者密切接触者的筛查和通知协调工作，所有与疑似病例有过密切接触者，将接受隔离观察。</w:t>
      </w:r>
    </w:p>
    <w:p>
      <w:pPr>
        <w:pStyle w:val="23"/>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（4）场地、疑似病例使用过的交通工具以及接触过的其他物品，在组委会医务官的指导下，进行全面消毒。</w:t>
      </w:r>
    </w:p>
    <w:p>
      <w:pPr>
        <w:pStyle w:val="23"/>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（5）经属地防疫部门确认后，赛事疫情防控工作领导小组将第一时间报告国家体育总局和中国篮球协会，经国家体育总局、中国篮球协会和国家有关部门的评估后，做出本次赛事是否暂停、推迟或取消的决定。</w:t>
      </w:r>
    </w:p>
    <w:p>
      <w:pPr>
        <w:pStyle w:val="23"/>
        <w:pageBreakBefore w:val="0"/>
        <w:kinsoku/>
        <w:wordWrap/>
        <w:overflowPunct/>
        <w:topLinePunct w:val="0"/>
        <w:bidi w:val="0"/>
        <w:snapToGrid/>
        <w:spacing w:line="56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（二）如赛事各类人员在酒店出现症状者/确诊者</w:t>
      </w:r>
    </w:p>
    <w:p>
      <w:pPr>
        <w:pStyle w:val="23"/>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1.涉及方面：赛事疫情防控工作领导小组、赛事疫情防控工作执行小组、赛事组委会、属地疫情防控部门。</w:t>
      </w:r>
    </w:p>
    <w:p>
      <w:pPr>
        <w:pStyle w:val="23"/>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2.处置流程：</w:t>
      </w:r>
    </w:p>
    <w:p>
      <w:pPr>
        <w:pStyle w:val="23"/>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若出现疑似症状，包括发热（体温超过37.3度）、干咳、乏力、鼻塞、流涕、咽痛、肌痛和腹泻等症状，必须由组委会医务官和专业防疫人员将疑似病例带至医务室（或隔离室），进行初步处置。同时，由组委会医务官向赛事疫情防控工作领导小组，以及属地疫情防控部门报告，联系相关部门，送当地发热门诊处理。</w:t>
      </w:r>
    </w:p>
    <w:p>
      <w:pPr>
        <w:pStyle w:val="23"/>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（2）在出现上述情况下，酒店内全方位进行消毒，尤其是疑似病例居住的楼层、餐厅、使用过的电梯等公共场所。</w:t>
      </w:r>
    </w:p>
    <w:p>
      <w:pPr>
        <w:pStyle w:val="23"/>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（3）经属地防疫部门确认后，疫情防控工作领导小组将根据国家有关部门的评估，做出本次赛事是否暂停、推迟或取消的决定。</w:t>
      </w:r>
    </w:p>
    <w:p>
      <w:pPr>
        <w:pStyle w:val="23"/>
        <w:pageBreakBefore w:val="0"/>
        <w:kinsoku/>
        <w:wordWrap/>
        <w:overflowPunct/>
        <w:topLinePunct w:val="0"/>
        <w:bidi w:val="0"/>
        <w:snapToGrid/>
        <w:spacing w:line="56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（三）若出现外围人员感染病例</w:t>
      </w:r>
    </w:p>
    <w:p>
      <w:pPr>
        <w:pStyle w:val="23"/>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1.涉及方面：赛事疫情防控工作领导小组、赛事疫情防控工作执行小组、赛事组委会各板块工作组、属地疫情防控部门、医疗机构。</w:t>
      </w:r>
    </w:p>
    <w:p>
      <w:pPr>
        <w:pStyle w:val="23"/>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2.处置流程：</w:t>
      </w:r>
    </w:p>
    <w:p>
      <w:pPr>
        <w:pStyle w:val="23"/>
        <w:pageBreakBefore w:val="0"/>
        <w:kinsoku/>
        <w:wordWrap/>
        <w:overflowPunct/>
        <w:topLinePunct w:val="0"/>
        <w:bidi w:val="0"/>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（1）及时做好赛区各方面人员的排查，确保尽早发现赛事各类人员是否有与感染者有过密切接触的人员。</w:t>
      </w:r>
    </w:p>
    <w:p>
      <w:pPr>
        <w:pStyle w:val="23"/>
        <w:pageBreakBefore w:val="0"/>
        <w:kinsoku/>
        <w:wordWrap/>
        <w:overflowPunct/>
        <w:topLinePunct w:val="0"/>
        <w:bidi w:val="0"/>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（2）进一步强化对封闭区的管理，严格把控，防止人员进出。</w:t>
      </w:r>
    </w:p>
    <w:p>
      <w:pPr>
        <w:pStyle w:val="23"/>
        <w:pageBreakBefore w:val="0"/>
        <w:kinsoku/>
        <w:wordWrap/>
        <w:overflowPunct/>
        <w:topLinePunct w:val="0"/>
        <w:bidi w:val="0"/>
        <w:snapToGrid/>
        <w:spacing w:line="560" w:lineRule="exact"/>
        <w:ind w:firstLine="645"/>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（3）密切关注当地医院对感染人员的治疗情况，确保信息通畅，情况准确。</w:t>
      </w:r>
    </w:p>
    <w:p>
      <w:pPr>
        <w:pStyle w:val="23"/>
        <w:pageBreakBefore w:val="0"/>
        <w:kinsoku/>
        <w:wordWrap/>
        <w:overflowPunct/>
        <w:topLinePunct w:val="0"/>
        <w:bidi w:val="0"/>
        <w:snapToGrid/>
        <w:spacing w:line="56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（四）信息管控</w:t>
      </w:r>
    </w:p>
    <w:p>
      <w:pPr>
        <w:pStyle w:val="23"/>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（一）如出现疑似病例或确认病例，组委会主要官员和工作人员，球队、裁判员、技术代表、嘉宾、媒体等人员，必须接受赛事疫情防控工作领导小组的统一调度安排。</w:t>
      </w:r>
    </w:p>
    <w:p>
      <w:pPr>
        <w:pStyle w:val="23"/>
        <w:pageBreakBefore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（二）赛事各类人员均不得擅自行动，均不得在个人社交平台上发布任何未经赛事组委会认可的内容。</w:t>
      </w:r>
    </w:p>
    <w:p>
      <w:pPr>
        <w:pageBreakBefore w:val="0"/>
        <w:kinsoku/>
        <w:wordWrap/>
        <w:overflowPunct/>
        <w:topLinePunct w:val="0"/>
        <w:bidi w:val="0"/>
        <w:snapToGrid/>
        <w:spacing w:line="560" w:lineRule="exact"/>
        <w:ind w:firstLine="640"/>
        <w:jc w:val="left"/>
        <w:textAlignment w:val="auto"/>
        <w:rPr>
          <w:rFonts w:hint="eastAsia" w:ascii="仿宋" w:hAnsi="仿宋" w:eastAsia="仿宋" w:cs="仿宋"/>
          <w:sz w:val="32"/>
          <w:szCs w:val="32"/>
        </w:rPr>
      </w:pPr>
      <w:r>
        <w:rPr>
          <w:rFonts w:hint="eastAsia" w:ascii="仿宋" w:hAnsi="仿宋" w:eastAsia="仿宋" w:cs="仿宋"/>
          <w:sz w:val="32"/>
          <w:szCs w:val="32"/>
        </w:rPr>
        <w:t>（三）赛事各类人员应通过上报机制，及时报告各类情况、线索、信息。</w:t>
      </w:r>
    </w:p>
    <w:p>
      <w:pPr>
        <w:pageBreakBefore w:val="0"/>
        <w:kinsoku/>
        <w:wordWrap/>
        <w:overflowPunct/>
        <w:topLinePunct w:val="0"/>
        <w:bidi w:val="0"/>
        <w:snapToGrid/>
        <w:spacing w:line="560" w:lineRule="exact"/>
        <w:ind w:firstLine="640"/>
        <w:jc w:val="left"/>
        <w:textAlignment w:val="auto"/>
        <w:rPr>
          <w:rFonts w:hint="eastAsia" w:ascii="仿宋" w:hAnsi="仿宋" w:eastAsia="仿宋" w:cs="仿宋"/>
          <w:sz w:val="32"/>
          <w:szCs w:val="32"/>
        </w:rPr>
      </w:pPr>
    </w:p>
    <w:p>
      <w:pPr>
        <w:pageBreakBefore w:val="0"/>
        <w:kinsoku/>
        <w:wordWrap/>
        <w:overflowPunct/>
        <w:topLinePunct w:val="0"/>
        <w:bidi w:val="0"/>
        <w:snapToGrid/>
        <w:spacing w:line="560" w:lineRule="exact"/>
        <w:ind w:firstLine="640"/>
        <w:jc w:val="left"/>
        <w:textAlignment w:val="auto"/>
        <w:rPr>
          <w:rFonts w:hint="eastAsia" w:ascii="仿宋" w:hAnsi="仿宋" w:eastAsia="仿宋" w:cs="仿宋"/>
          <w:sz w:val="32"/>
          <w:szCs w:val="32"/>
        </w:rPr>
      </w:pPr>
    </w:p>
    <w:p>
      <w:pPr>
        <w:pageBreakBefore w:val="0"/>
        <w:kinsoku/>
        <w:wordWrap/>
        <w:overflowPunct/>
        <w:topLinePunct w:val="0"/>
        <w:bidi w:val="0"/>
        <w:snapToGrid/>
        <w:spacing w:line="560" w:lineRule="exact"/>
        <w:ind w:firstLine="640"/>
        <w:jc w:val="left"/>
        <w:textAlignment w:val="auto"/>
        <w:rPr>
          <w:rFonts w:hint="eastAsia" w:ascii="仿宋" w:hAnsi="仿宋" w:eastAsia="仿宋" w:cs="仿宋"/>
          <w:sz w:val="32"/>
          <w:szCs w:val="32"/>
        </w:rPr>
      </w:pPr>
    </w:p>
    <w:p>
      <w:pPr>
        <w:pageBreakBefore w:val="0"/>
        <w:kinsoku/>
        <w:wordWrap/>
        <w:overflowPunct/>
        <w:topLinePunct w:val="0"/>
        <w:bidi w:val="0"/>
        <w:snapToGrid/>
        <w:spacing w:line="560" w:lineRule="exact"/>
        <w:ind w:firstLine="640"/>
        <w:jc w:val="left"/>
        <w:textAlignment w:val="auto"/>
        <w:rPr>
          <w:rFonts w:hint="eastAsia" w:ascii="仿宋" w:hAnsi="仿宋" w:eastAsia="仿宋" w:cs="仿宋"/>
          <w:sz w:val="32"/>
          <w:szCs w:val="32"/>
        </w:rPr>
      </w:pPr>
    </w:p>
    <w:p>
      <w:pPr>
        <w:pageBreakBefore w:val="0"/>
        <w:kinsoku/>
        <w:wordWrap/>
        <w:overflowPunct/>
        <w:topLinePunct w:val="0"/>
        <w:bidi w:val="0"/>
        <w:snapToGrid/>
        <w:spacing w:line="560" w:lineRule="exact"/>
        <w:ind w:firstLine="640"/>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中国企业体育协会</w:t>
      </w:r>
    </w:p>
    <w:p>
      <w:pPr>
        <w:pageBreakBefore w:val="0"/>
        <w:kinsoku/>
        <w:wordWrap/>
        <w:overflowPunct/>
        <w:topLinePunct w:val="0"/>
        <w:bidi w:val="0"/>
        <w:snapToGrid/>
        <w:spacing w:line="560" w:lineRule="exact"/>
        <w:ind w:firstLine="640"/>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2021年6月</w:t>
      </w:r>
    </w:p>
    <w:sectPr>
      <w:footerReference r:id="rId3" w:type="default"/>
      <w:pgSz w:w="11900" w:h="16840"/>
      <w:pgMar w:top="2098" w:right="1531" w:bottom="1984" w:left="1531" w:header="851" w:footer="992" w:gutter="0"/>
      <w:pgNumType w:fmt="numberInDash" w:start="2"/>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Helvetica">
    <w:altName w:val="Arial"/>
    <w:panose1 w:val="00000000000000000000"/>
    <w:charset w:val="00"/>
    <w:family w:val="auto"/>
    <w:pitch w:val="default"/>
    <w:sig w:usb0="00000000" w:usb1="00000000" w:usb2="00000000" w:usb3="00000000" w:csb0="0000019F" w:csb1="00000000"/>
  </w:font>
  <w:font w:name="Arial Unicode MS">
    <w:altName w:val="Arial"/>
    <w:panose1 w:val="020B0604020202020204"/>
    <w:charset w:val="00"/>
    <w:family w:val="auto"/>
    <w:pitch w:val="default"/>
    <w:sig w:usb0="00000000" w:usb1="00000000" w:usb2="0000003F" w:usb3="00000000" w:csb0="003F01FF" w:csb1="00000000"/>
  </w:font>
  <w:font w:name="Adobe 宋体 Std L">
    <w:altName w:val="宋体"/>
    <w:panose1 w:val="00000000000000000000"/>
    <w:charset w:val="50"/>
    <w:family w:val="auto"/>
    <w:pitch w:val="default"/>
    <w:sig w:usb0="00000000" w:usb1="00000000" w:usb2="00000016" w:usb3="00000000" w:csb0="00060007"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50"/>
    <w:family w:val="auto"/>
    <w:pitch w:val="default"/>
    <w:sig w:usb0="00000287" w:usb1="080F0000" w:usb2="00000000" w:usb3="00000000" w:csb0="0004009F" w:csb1="DFD70000"/>
  </w:font>
  <w:font w:name="PingFang SC">
    <w:altName w:val="MingLiU"/>
    <w:panose1 w:val="00000000000000000000"/>
    <w:charset w:val="88"/>
    <w:family w:val="auto"/>
    <w:pitch w:val="default"/>
    <w:sig w:usb0="00000000" w:usb1="00000000" w:usb2="00000016" w:usb3="00000000" w:csb0="00100001" w:csb1="00000000"/>
  </w:font>
  <w:font w:name="MingLiU">
    <w:panose1 w:val="02020509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7C0DFF"/>
    <w:multiLevelType w:val="singleLevel"/>
    <w:tmpl w:val="3D7C0DF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A1"/>
    <w:rsid w:val="0000475C"/>
    <w:rsid w:val="000234A1"/>
    <w:rsid w:val="00071876"/>
    <w:rsid w:val="0007601A"/>
    <w:rsid w:val="00081B0F"/>
    <w:rsid w:val="000856C9"/>
    <w:rsid w:val="000B2306"/>
    <w:rsid w:val="000D449A"/>
    <w:rsid w:val="000E6129"/>
    <w:rsid w:val="00105BDA"/>
    <w:rsid w:val="00110814"/>
    <w:rsid w:val="00155D33"/>
    <w:rsid w:val="00161466"/>
    <w:rsid w:val="001A11E6"/>
    <w:rsid w:val="0023164D"/>
    <w:rsid w:val="002531C7"/>
    <w:rsid w:val="00257904"/>
    <w:rsid w:val="00280F3D"/>
    <w:rsid w:val="002D3476"/>
    <w:rsid w:val="002F2634"/>
    <w:rsid w:val="002F47EA"/>
    <w:rsid w:val="003256DF"/>
    <w:rsid w:val="00351D6E"/>
    <w:rsid w:val="003B5136"/>
    <w:rsid w:val="003D3B65"/>
    <w:rsid w:val="003E6C9E"/>
    <w:rsid w:val="003F36AF"/>
    <w:rsid w:val="003F5EDA"/>
    <w:rsid w:val="004100CD"/>
    <w:rsid w:val="00412407"/>
    <w:rsid w:val="00422BED"/>
    <w:rsid w:val="00433B7E"/>
    <w:rsid w:val="004347C3"/>
    <w:rsid w:val="004E248C"/>
    <w:rsid w:val="005406B9"/>
    <w:rsid w:val="00544C60"/>
    <w:rsid w:val="00562510"/>
    <w:rsid w:val="00571CD9"/>
    <w:rsid w:val="005B195A"/>
    <w:rsid w:val="005B278D"/>
    <w:rsid w:val="00605292"/>
    <w:rsid w:val="00613DF1"/>
    <w:rsid w:val="006369A2"/>
    <w:rsid w:val="006563FD"/>
    <w:rsid w:val="00687F6D"/>
    <w:rsid w:val="00696899"/>
    <w:rsid w:val="006A2EC6"/>
    <w:rsid w:val="006D125F"/>
    <w:rsid w:val="006F1666"/>
    <w:rsid w:val="0070064D"/>
    <w:rsid w:val="00725290"/>
    <w:rsid w:val="0073190B"/>
    <w:rsid w:val="00743B68"/>
    <w:rsid w:val="007617B0"/>
    <w:rsid w:val="007751AC"/>
    <w:rsid w:val="007C31CC"/>
    <w:rsid w:val="00821212"/>
    <w:rsid w:val="00866315"/>
    <w:rsid w:val="008B0430"/>
    <w:rsid w:val="008C7ED2"/>
    <w:rsid w:val="008E741C"/>
    <w:rsid w:val="00995110"/>
    <w:rsid w:val="009E5C05"/>
    <w:rsid w:val="00A05150"/>
    <w:rsid w:val="00A052F7"/>
    <w:rsid w:val="00A24C0A"/>
    <w:rsid w:val="00A562C8"/>
    <w:rsid w:val="00A6111D"/>
    <w:rsid w:val="00A92E47"/>
    <w:rsid w:val="00AB2919"/>
    <w:rsid w:val="00AC30A6"/>
    <w:rsid w:val="00AD5C78"/>
    <w:rsid w:val="00B0492B"/>
    <w:rsid w:val="00B56088"/>
    <w:rsid w:val="00BC37A7"/>
    <w:rsid w:val="00BC7F9C"/>
    <w:rsid w:val="00BE34DF"/>
    <w:rsid w:val="00BE5892"/>
    <w:rsid w:val="00C64D97"/>
    <w:rsid w:val="00C9094C"/>
    <w:rsid w:val="00CE3F44"/>
    <w:rsid w:val="00D336BF"/>
    <w:rsid w:val="00D43771"/>
    <w:rsid w:val="00D639BA"/>
    <w:rsid w:val="00DA2524"/>
    <w:rsid w:val="00DB583E"/>
    <w:rsid w:val="00DC0771"/>
    <w:rsid w:val="00DE13BA"/>
    <w:rsid w:val="00DE4077"/>
    <w:rsid w:val="00DF4CC3"/>
    <w:rsid w:val="00E50D81"/>
    <w:rsid w:val="00E73C95"/>
    <w:rsid w:val="00E953C9"/>
    <w:rsid w:val="00EB2513"/>
    <w:rsid w:val="00F07B55"/>
    <w:rsid w:val="00F46CB5"/>
    <w:rsid w:val="00F57DEC"/>
    <w:rsid w:val="00F825A3"/>
    <w:rsid w:val="00F960DF"/>
    <w:rsid w:val="00FD0D3B"/>
    <w:rsid w:val="0DA80021"/>
    <w:rsid w:val="1D253D6B"/>
    <w:rsid w:val="221C6CFB"/>
    <w:rsid w:val="2B492F0C"/>
    <w:rsid w:val="2CAB50D5"/>
    <w:rsid w:val="36762D4D"/>
    <w:rsid w:val="3C7157B8"/>
    <w:rsid w:val="4B446F88"/>
    <w:rsid w:val="54B4154C"/>
    <w:rsid w:val="5A9A3F88"/>
    <w:rsid w:val="5D717513"/>
    <w:rsid w:val="5DB51B39"/>
    <w:rsid w:val="61675884"/>
    <w:rsid w:val="65D70D14"/>
    <w:rsid w:val="6CA01172"/>
    <w:rsid w:val="6FB41E9C"/>
    <w:rsid w:val="77862370"/>
    <w:rsid w:val="796E7C24"/>
    <w:rsid w:val="7B507598"/>
    <w:rsid w:val="7CF807C2"/>
    <w:rsid w:val="7EF1554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8"/>
    <w:semiHidden/>
    <w:unhideWhenUsed/>
    <w:qFormat/>
    <w:uiPriority w:val="99"/>
    <w:rPr>
      <w:rFonts w:ascii="Helvetica" w:hAnsi="Helvetica"/>
    </w:rPr>
  </w:style>
  <w:style w:type="paragraph" w:styleId="4">
    <w:name w:val="Body Text"/>
    <w:basedOn w:val="1"/>
    <w:link w:val="19"/>
    <w:qFormat/>
    <w:uiPriority w:val="1"/>
    <w:pPr>
      <w:ind w:left="140" w:firstLine="640"/>
    </w:pPr>
    <w:rPr>
      <w:rFonts w:ascii="宋体" w:hAnsi="宋体" w:eastAsia="宋体" w:cs="宋体"/>
      <w:sz w:val="32"/>
      <w:szCs w:val="32"/>
      <w:lang w:val="zh-CN" w:bidi="zh-CN"/>
    </w:rPr>
  </w:style>
  <w:style w:type="paragraph" w:styleId="5">
    <w:name w:val="Body Text Indent"/>
    <w:basedOn w:val="1"/>
    <w:unhideWhenUsed/>
    <w:qFormat/>
    <w:uiPriority w:val="99"/>
    <w:pPr>
      <w:spacing w:after="120"/>
      <w:ind w:left="420" w:leftChars="200"/>
    </w:pPr>
  </w:style>
  <w:style w:type="paragraph" w:styleId="6">
    <w:name w:val="Date"/>
    <w:basedOn w:val="1"/>
    <w:next w:val="1"/>
    <w:link w:val="20"/>
    <w:unhideWhenUsed/>
    <w:qFormat/>
    <w:uiPriority w:val="99"/>
    <w:pPr>
      <w:ind w:left="100" w:leftChars="2500"/>
    </w:p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rPr>
  </w:style>
  <w:style w:type="paragraph" w:styleId="10">
    <w:name w:val="Body Text First Indent 2"/>
    <w:basedOn w:val="5"/>
    <w:unhideWhenUsed/>
    <w:qFormat/>
    <w:uiPriority w:val="99"/>
    <w:pPr>
      <w:ind w:firstLine="420" w:firstLineChars="200"/>
    </w:pPr>
  </w:style>
  <w:style w:type="table" w:styleId="12">
    <w:name w:val="Table Grid"/>
    <w:basedOn w:val="11"/>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semiHidden/>
    <w:unhideWhenUsed/>
    <w:qFormat/>
    <w:uiPriority w:val="99"/>
    <w:rPr>
      <w:color w:val="800080" w:themeColor="followedHyperlink"/>
      <w:u w:val="single"/>
      <w14:textFill>
        <w14:solidFill>
          <w14:schemeClr w14:val="folHlink"/>
        </w14:solidFill>
      </w14:textFill>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paragraph" w:styleId="16">
    <w:name w:val="List Paragraph"/>
    <w:basedOn w:val="1"/>
    <w:qFormat/>
    <w:uiPriority w:val="34"/>
    <w:pPr>
      <w:ind w:firstLine="420" w:firstLineChars="200"/>
    </w:pPr>
  </w:style>
  <w:style w:type="character" w:customStyle="1" w:styleId="17">
    <w:name w:val="标题 1字符"/>
    <w:basedOn w:val="13"/>
    <w:link w:val="2"/>
    <w:qFormat/>
    <w:uiPriority w:val="9"/>
    <w:rPr>
      <w:rFonts w:ascii="Times New Roman" w:hAnsi="Times New Roman" w:eastAsia="宋体" w:cs="Times New Roman"/>
      <w:b/>
      <w:bCs/>
      <w:kern w:val="44"/>
      <w:sz w:val="44"/>
      <w:szCs w:val="44"/>
    </w:rPr>
  </w:style>
  <w:style w:type="character" w:customStyle="1" w:styleId="18">
    <w:name w:val="文档结构图字符"/>
    <w:basedOn w:val="13"/>
    <w:link w:val="3"/>
    <w:semiHidden/>
    <w:qFormat/>
    <w:uiPriority w:val="99"/>
    <w:rPr>
      <w:rFonts w:ascii="Helvetica" w:hAnsi="Helvetica"/>
    </w:rPr>
  </w:style>
  <w:style w:type="character" w:customStyle="1" w:styleId="19">
    <w:name w:val="正文文本字符"/>
    <w:basedOn w:val="13"/>
    <w:link w:val="4"/>
    <w:qFormat/>
    <w:uiPriority w:val="1"/>
    <w:rPr>
      <w:rFonts w:ascii="宋体" w:hAnsi="宋体" w:eastAsia="宋体" w:cs="宋体"/>
      <w:sz w:val="32"/>
      <w:szCs w:val="32"/>
      <w:lang w:val="zh-CN" w:bidi="zh-CN"/>
    </w:rPr>
  </w:style>
  <w:style w:type="character" w:customStyle="1" w:styleId="20">
    <w:name w:val="日期字符"/>
    <w:basedOn w:val="13"/>
    <w:link w:val="6"/>
    <w:qFormat/>
    <w:uiPriority w:val="99"/>
  </w:style>
  <w:style w:type="character" w:customStyle="1" w:styleId="21">
    <w:name w:val="页脚字符"/>
    <w:basedOn w:val="13"/>
    <w:link w:val="7"/>
    <w:qFormat/>
    <w:uiPriority w:val="99"/>
    <w:rPr>
      <w:sz w:val="18"/>
      <w:szCs w:val="18"/>
    </w:rPr>
  </w:style>
  <w:style w:type="character" w:customStyle="1" w:styleId="22">
    <w:name w:val="页眉字符"/>
    <w:basedOn w:val="13"/>
    <w:link w:val="8"/>
    <w:qFormat/>
    <w:uiPriority w:val="99"/>
    <w:rPr>
      <w:sz w:val="18"/>
      <w:szCs w:val="18"/>
    </w:rPr>
  </w:style>
  <w:style w:type="paragraph" w:customStyle="1" w:styleId="23">
    <w:name w:val="Default"/>
    <w:qFormat/>
    <w:uiPriority w:val="0"/>
    <w:pPr>
      <w:widowControl w:val="0"/>
      <w:autoSpaceDE w:val="0"/>
      <w:autoSpaceDN w:val="0"/>
      <w:adjustRightInd w:val="0"/>
    </w:pPr>
    <w:rPr>
      <w:rFonts w:ascii="Arial Unicode MS" w:hAnsi="Times New Roman" w:eastAsia="Arial Unicode MS" w:cs="Arial Unicode MS"/>
      <w:color w:val="000000"/>
      <w:kern w:val="0"/>
      <w:sz w:val="24"/>
      <w:szCs w:val="24"/>
      <w:lang w:val="en-US" w:eastAsia="zh-CN" w:bidi="ar-SA"/>
    </w:rPr>
  </w:style>
  <w:style w:type="character" w:customStyle="1" w:styleId="24">
    <w:name w:val="无"/>
    <w:qFormat/>
    <w:uiPriority w:val="0"/>
  </w:style>
  <w:style w:type="paragraph" w:customStyle="1" w:styleId="25">
    <w:name w:val="正文 A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26">
    <w:name w:val="Body text|1"/>
    <w:basedOn w:val="1"/>
    <w:qFormat/>
    <w:uiPriority w:val="0"/>
    <w:pPr>
      <w:spacing w:line="458" w:lineRule="auto"/>
      <w:ind w:firstLine="400"/>
    </w:pPr>
    <w:rPr>
      <w:rFonts w:ascii="宋体" w:hAnsi="宋体" w:eastAsia="宋体" w:cs="宋体"/>
      <w:sz w:val="30"/>
      <w:szCs w:val="30"/>
      <w:lang w:val="zh-TW" w:eastAsia="zh-TW" w:bidi="zh-TW"/>
    </w:rPr>
  </w:style>
  <w:style w:type="paragraph" w:customStyle="1" w:styleId="27">
    <w:name w:val="Heading #1|1"/>
    <w:basedOn w:val="1"/>
    <w:qFormat/>
    <w:uiPriority w:val="0"/>
    <w:pPr>
      <w:spacing w:after="600" w:line="646" w:lineRule="exact"/>
      <w:jc w:val="center"/>
      <w:outlineLvl w:val="0"/>
    </w:pPr>
    <w:rPr>
      <w:rFonts w:ascii="宋体" w:hAnsi="宋体" w:eastAsia="宋体" w:cs="宋体"/>
      <w:sz w:val="44"/>
      <w:szCs w:val="44"/>
      <w:lang w:val="zh-TW" w:eastAsia="zh-TW" w:bidi="zh-TW"/>
    </w:rPr>
  </w:style>
  <w:style w:type="paragraph" w:styleId="28">
    <w:name w:val="No Spacing"/>
    <w:qFormat/>
    <w:uiPriority w:val="1"/>
    <w:pPr>
      <w:widowControl w:val="0"/>
      <w:jc w:val="both"/>
    </w:pPr>
    <w:rPr>
      <w:rFonts w:asciiTheme="minorHAnsi" w:hAnsiTheme="minorHAnsi" w:eastAsiaTheme="minorEastAsia" w:cstheme="minorBidi"/>
      <w:kern w:val="2"/>
      <w:sz w:val="24"/>
      <w:szCs w:val="24"/>
      <w:lang w:val="en-US" w:eastAsia="zh-CN" w:bidi="ar-SA"/>
    </w:rPr>
  </w:style>
  <w:style w:type="paragraph" w:customStyle="1" w:styleId="29">
    <w:name w:val="[基本段落]"/>
    <w:basedOn w:val="1"/>
    <w:qFormat/>
    <w:uiPriority w:val="99"/>
    <w:pPr>
      <w:autoSpaceDE w:val="0"/>
      <w:autoSpaceDN w:val="0"/>
      <w:adjustRightInd w:val="0"/>
      <w:spacing w:line="288" w:lineRule="auto"/>
      <w:textAlignment w:val="center"/>
    </w:pPr>
    <w:rPr>
      <w:rFonts w:ascii="Adobe 宋体 Std L" w:hAnsi="Calibri" w:eastAsia="Adobe 宋体 Std L" w:cs="Adobe 宋体 Std L"/>
      <w:color w:val="000000"/>
      <w:kern w:val="0"/>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3975</Words>
  <Characters>22661</Characters>
  <Lines>188</Lines>
  <Paragraphs>53</Paragraphs>
  <TotalTime>24</TotalTime>
  <ScaleCrop>false</ScaleCrop>
  <LinksUpToDate>false</LinksUpToDate>
  <CharactersWithSpaces>26583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2021-06-18T03:23:00Z</dcterms:created>
  <dc:creator>liu Domingo</dc:creator>
  <cp:lastModifiedBy>疯孓</cp:lastModifiedBy>
  <cp:lastPrinted>2021-06-07T11:40:00Z</cp:lastPrinted>
  <dcterms:modified xsi:type="dcterms:W3CDTF">2021-06-21T08:16:18Z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4406908CD05D4BD7B7A67FED84C97688</vt:lpwstr>
  </property>
</Properties>
</file>