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4C" w:rsidRPr="00CC5A4C" w:rsidRDefault="00CC5A4C" w:rsidP="00CC5A4C">
      <w:pPr>
        <w:jc w:val="center"/>
        <w:rPr>
          <w:rFonts w:ascii="仿宋" w:eastAsia="仿宋" w:hAnsi="仿宋"/>
          <w:b/>
          <w:w w:val="90"/>
          <w:sz w:val="32"/>
          <w:szCs w:val="32"/>
        </w:rPr>
      </w:pPr>
      <w:r w:rsidRPr="00CC5A4C">
        <w:rPr>
          <w:rFonts w:ascii="仿宋" w:eastAsia="仿宋" w:hAnsi="仿宋" w:hint="eastAsia"/>
          <w:b/>
          <w:w w:val="90"/>
          <w:sz w:val="32"/>
          <w:szCs w:val="32"/>
        </w:rPr>
        <w:t>“红色百年 健康中国”2021（第二届）中国职工沙滩运动会</w:t>
      </w:r>
    </w:p>
    <w:p w:rsidR="00506DFC" w:rsidRPr="00CC5A4C" w:rsidRDefault="00EF3646">
      <w:pPr>
        <w:widowControl/>
        <w:jc w:val="center"/>
        <w:rPr>
          <w:rFonts w:ascii="仿宋" w:eastAsia="仿宋" w:hAnsi="仿宋"/>
          <w:b/>
          <w:sz w:val="32"/>
          <w:szCs w:val="32"/>
        </w:rPr>
      </w:pPr>
      <w:proofErr w:type="gramStart"/>
      <w:r w:rsidRPr="00CC5A4C">
        <w:rPr>
          <w:rFonts w:ascii="仿宋" w:eastAsia="仿宋" w:hAnsi="仿宋" w:hint="eastAsia"/>
          <w:b/>
          <w:sz w:val="32"/>
          <w:szCs w:val="32"/>
        </w:rPr>
        <w:t>沙滩台克球</w:t>
      </w:r>
      <w:proofErr w:type="gramEnd"/>
      <w:r w:rsidRPr="00CC5A4C">
        <w:rPr>
          <w:rFonts w:ascii="仿宋" w:eastAsia="仿宋" w:hAnsi="仿宋" w:hint="eastAsia"/>
          <w:b/>
          <w:sz w:val="32"/>
          <w:szCs w:val="32"/>
        </w:rPr>
        <w:t>竞赛规程</w:t>
      </w:r>
    </w:p>
    <w:p w:rsidR="00506DFC" w:rsidRDefault="00506DFC">
      <w:pPr>
        <w:jc w:val="left"/>
        <w:rPr>
          <w:rFonts w:ascii="仿宋" w:eastAsia="仿宋" w:hAnsi="仿宋"/>
          <w:b/>
          <w:sz w:val="28"/>
          <w:szCs w:val="28"/>
        </w:rPr>
      </w:pPr>
    </w:p>
    <w:p w:rsidR="00506DFC" w:rsidRDefault="00EF3646">
      <w:pPr>
        <w:numPr>
          <w:ilvl w:val="0"/>
          <w:numId w:val="1"/>
        </w:numPr>
        <w:jc w:val="left"/>
        <w:rPr>
          <w:rFonts w:ascii="仿宋" w:eastAsia="仿宋" w:hAnsi="仿宋"/>
          <w:b/>
          <w:sz w:val="28"/>
          <w:szCs w:val="28"/>
        </w:rPr>
      </w:pPr>
      <w:r>
        <w:rPr>
          <w:rFonts w:ascii="仿宋" w:eastAsia="仿宋" w:hAnsi="仿宋" w:hint="eastAsia"/>
          <w:b/>
          <w:sz w:val="28"/>
          <w:szCs w:val="28"/>
        </w:rPr>
        <w:t>比赛日期、地点</w:t>
      </w:r>
    </w:p>
    <w:p w:rsidR="00506DFC" w:rsidRDefault="00EF3646">
      <w:pPr>
        <w:ind w:firstLine="560"/>
        <w:jc w:val="left"/>
        <w:rPr>
          <w:rFonts w:ascii="仿宋" w:eastAsia="仿宋" w:hAnsi="仿宋"/>
          <w:bCs/>
          <w:sz w:val="28"/>
          <w:szCs w:val="28"/>
        </w:rPr>
      </w:pPr>
      <w:r>
        <w:rPr>
          <w:rFonts w:ascii="仿宋" w:eastAsia="仿宋" w:hAnsi="仿宋" w:hint="eastAsia"/>
          <w:bCs/>
          <w:sz w:val="28"/>
          <w:szCs w:val="28"/>
        </w:rPr>
        <w:t>2021年12月</w:t>
      </w:r>
      <w:r w:rsidR="00663BBE">
        <w:rPr>
          <w:rFonts w:ascii="仿宋" w:eastAsia="仿宋" w:hAnsi="仿宋" w:hint="eastAsia"/>
          <w:bCs/>
          <w:sz w:val="28"/>
          <w:szCs w:val="28"/>
        </w:rPr>
        <w:t>4</w:t>
      </w:r>
      <w:r>
        <w:rPr>
          <w:rFonts w:ascii="仿宋" w:eastAsia="仿宋" w:hAnsi="仿宋" w:hint="eastAsia"/>
          <w:bCs/>
          <w:sz w:val="28"/>
          <w:szCs w:val="28"/>
        </w:rPr>
        <w:t>日-</w:t>
      </w:r>
      <w:r w:rsidR="00663BBE">
        <w:rPr>
          <w:rFonts w:ascii="仿宋" w:eastAsia="仿宋" w:hAnsi="仿宋" w:hint="eastAsia"/>
          <w:bCs/>
          <w:sz w:val="28"/>
          <w:szCs w:val="28"/>
        </w:rPr>
        <w:t>5</w:t>
      </w:r>
      <w:r>
        <w:rPr>
          <w:rFonts w:ascii="仿宋" w:eastAsia="仿宋" w:hAnsi="仿宋" w:hint="eastAsia"/>
          <w:bCs/>
          <w:sz w:val="28"/>
          <w:szCs w:val="28"/>
        </w:rPr>
        <w:t>日</w:t>
      </w:r>
    </w:p>
    <w:p w:rsidR="00506DFC" w:rsidRDefault="00EF3646">
      <w:pPr>
        <w:pStyle w:val="Default"/>
        <w:ind w:firstLineChars="200" w:firstLine="560"/>
      </w:pPr>
      <w:r>
        <w:rPr>
          <w:rFonts w:ascii="仿宋" w:eastAsia="仿宋" w:hAnsi="仿宋" w:hint="eastAsia"/>
          <w:bCs/>
          <w:sz w:val="28"/>
          <w:szCs w:val="28"/>
        </w:rPr>
        <w:t>海南省三亚市</w:t>
      </w:r>
      <w:r w:rsidR="00506FFC">
        <w:rPr>
          <w:rFonts w:ascii="仿宋" w:eastAsia="仿宋" w:hAnsi="仿宋" w:hint="eastAsia"/>
          <w:sz w:val="28"/>
          <w:szCs w:val="28"/>
        </w:rPr>
        <w:t>天涯海角赛区</w:t>
      </w:r>
    </w:p>
    <w:p w:rsidR="00506DFC" w:rsidRDefault="00EF3646">
      <w:pPr>
        <w:numPr>
          <w:ilvl w:val="0"/>
          <w:numId w:val="1"/>
        </w:numPr>
        <w:jc w:val="left"/>
        <w:rPr>
          <w:rFonts w:ascii="仿宋" w:eastAsia="仿宋" w:hAnsi="仿宋"/>
          <w:b/>
          <w:sz w:val="28"/>
          <w:szCs w:val="28"/>
        </w:rPr>
      </w:pPr>
      <w:r>
        <w:rPr>
          <w:rFonts w:ascii="仿宋" w:eastAsia="仿宋" w:hAnsi="仿宋" w:hint="eastAsia"/>
          <w:b/>
          <w:sz w:val="28"/>
          <w:szCs w:val="28"/>
        </w:rPr>
        <w:t>竞赛办法</w:t>
      </w:r>
      <w:bookmarkStart w:id="0" w:name="_GoBack"/>
      <w:bookmarkEnd w:id="0"/>
    </w:p>
    <w:p w:rsidR="00506DFC" w:rsidRDefault="00EF3646">
      <w:pPr>
        <w:pStyle w:val="Default"/>
        <w:numPr>
          <w:ilvl w:val="0"/>
          <w:numId w:val="2"/>
        </w:numPr>
        <w:rPr>
          <w:rFonts w:ascii="仿宋" w:eastAsia="仿宋" w:hAnsi="仿宋" w:cs="仿宋"/>
          <w:sz w:val="28"/>
          <w:szCs w:val="28"/>
        </w:rPr>
      </w:pPr>
      <w:r>
        <w:rPr>
          <w:rFonts w:ascii="仿宋" w:eastAsia="仿宋" w:hAnsi="仿宋" w:cs="仿宋" w:hint="eastAsia"/>
          <w:sz w:val="28"/>
          <w:szCs w:val="28"/>
        </w:rPr>
        <w:t>比赛赛制：</w:t>
      </w:r>
    </w:p>
    <w:p w:rsidR="00506DFC" w:rsidRDefault="00EF3646">
      <w:pPr>
        <w:pStyle w:val="Default"/>
        <w:rPr>
          <w:rFonts w:ascii="仿宋" w:eastAsia="仿宋" w:hAnsi="仿宋" w:cs="仿宋"/>
          <w:sz w:val="28"/>
          <w:szCs w:val="28"/>
        </w:rPr>
      </w:pPr>
      <w:r>
        <w:rPr>
          <w:rFonts w:ascii="仿宋" w:eastAsia="仿宋" w:hAnsi="仿宋" w:cs="仿宋" w:hint="eastAsia"/>
          <w:sz w:val="28"/>
          <w:szCs w:val="28"/>
        </w:rPr>
        <w:t xml:space="preserve">      比赛为双人赛（全年龄组），采取小组赛加淘汰赛的比赛办法。</w:t>
      </w:r>
    </w:p>
    <w:p w:rsidR="00506DFC" w:rsidRDefault="00EF3646">
      <w:pPr>
        <w:pStyle w:val="Default"/>
        <w:numPr>
          <w:ilvl w:val="0"/>
          <w:numId w:val="2"/>
        </w:numPr>
        <w:rPr>
          <w:rFonts w:ascii="仿宋" w:eastAsia="仿宋" w:hAnsi="仿宋" w:cs="仿宋"/>
          <w:sz w:val="28"/>
          <w:szCs w:val="28"/>
        </w:rPr>
      </w:pPr>
      <w:r>
        <w:rPr>
          <w:rFonts w:ascii="仿宋" w:eastAsia="仿宋" w:hAnsi="仿宋" w:cs="仿宋" w:hint="eastAsia"/>
          <w:sz w:val="28"/>
          <w:szCs w:val="28"/>
        </w:rPr>
        <w:t>比赛规则</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小组赛为一局定胜负，淘汰赛为三局两胜制。一局比赛任何一方先得20分即为获胜；决胜局比赛打到局点，率先获得2分净胜球的队伍获胜（例如:21-19）。</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发球时，发球员可以</w:t>
      </w:r>
      <w:proofErr w:type="gramStart"/>
      <w:r>
        <w:rPr>
          <w:rFonts w:ascii="仿宋" w:eastAsia="仿宋" w:hAnsi="仿宋" w:cs="仿宋" w:hint="eastAsia"/>
          <w:sz w:val="28"/>
          <w:szCs w:val="28"/>
        </w:rPr>
        <w:t>用除了手</w:t>
      </w:r>
      <w:proofErr w:type="gramEnd"/>
      <w:r>
        <w:rPr>
          <w:rFonts w:ascii="仿宋" w:eastAsia="仿宋" w:hAnsi="仿宋" w:cs="仿宋" w:hint="eastAsia"/>
          <w:sz w:val="28"/>
          <w:szCs w:val="28"/>
        </w:rPr>
        <w:t>和手臂外的任何身体部分触球一次，且所有触地的身体部位必须位于发球线后方。</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发球的运行轨迹不限，但球必须落在对方桌面。</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发球手必须先用手把球抛起然后完成发球，身体与球接触的位置必须高于比赛台面。</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发球擦网视为一次发球失误，发球手有2次发球失误机会。</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如果发球手发球时双脚腾空，视为发球失误，发球手必须从球桌边线的延长线之间发球。</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一局比赛中双方每四分交换一次发球权。决胜局比分为19-19，</w:t>
      </w:r>
      <w:r>
        <w:rPr>
          <w:rFonts w:ascii="仿宋" w:eastAsia="仿宋" w:hAnsi="仿宋" w:cs="仿宋" w:hint="eastAsia"/>
          <w:sz w:val="28"/>
          <w:szCs w:val="28"/>
        </w:rPr>
        <w:lastRenderedPageBreak/>
        <w:t>且没有以21-19结束比赛时，从20-20开始每一分交换一次发球权。双打比赛中，每交换一次发球权，前接球手变为发球手，前发球手的队友变为接球手。</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擦边球</w:t>
      </w:r>
      <w:proofErr w:type="gramStart"/>
      <w:r>
        <w:rPr>
          <w:rFonts w:ascii="仿宋" w:eastAsia="仿宋" w:hAnsi="仿宋" w:cs="仿宋" w:hint="eastAsia"/>
          <w:sz w:val="28"/>
          <w:szCs w:val="28"/>
        </w:rPr>
        <w:t>是指球弹</w:t>
      </w:r>
      <w:proofErr w:type="gramEnd"/>
      <w:r>
        <w:rPr>
          <w:rFonts w:ascii="仿宋" w:eastAsia="仿宋" w:hAnsi="仿宋" w:cs="仿宋" w:hint="eastAsia"/>
          <w:sz w:val="28"/>
          <w:szCs w:val="28"/>
        </w:rPr>
        <w:t>到球桌的边缘，并以明显可见的方式改变运动轨迹。如果接球方在球落地前触球，那么比赛继续。如果接球方在球触地或碰到其他任何</w:t>
      </w:r>
      <w:proofErr w:type="gramStart"/>
      <w:r>
        <w:rPr>
          <w:rFonts w:ascii="仿宋" w:eastAsia="仿宋" w:hAnsi="仿宋" w:cs="仿宋" w:hint="eastAsia"/>
          <w:sz w:val="28"/>
          <w:szCs w:val="28"/>
        </w:rPr>
        <w:t>器材或场内外</w:t>
      </w:r>
      <w:proofErr w:type="gramEnd"/>
      <w:r>
        <w:rPr>
          <w:rFonts w:ascii="仿宋" w:eastAsia="仿宋" w:hAnsi="仿宋" w:cs="仿宋" w:hint="eastAsia"/>
          <w:sz w:val="28"/>
          <w:szCs w:val="28"/>
        </w:rPr>
        <w:t>人员之前没有触球，那么重新开始这一球。</w:t>
      </w:r>
    </w:p>
    <w:p w:rsidR="00506DFC" w:rsidRDefault="00EF3646">
      <w:pPr>
        <w:pStyle w:val="Default"/>
        <w:numPr>
          <w:ilvl w:val="0"/>
          <w:numId w:val="3"/>
        </w:numPr>
        <w:rPr>
          <w:rFonts w:ascii="仿宋" w:eastAsia="仿宋" w:hAnsi="仿宋" w:cs="仿宋"/>
          <w:sz w:val="28"/>
          <w:szCs w:val="28"/>
        </w:rPr>
      </w:pPr>
      <w:proofErr w:type="gramStart"/>
      <w:r>
        <w:rPr>
          <w:rFonts w:ascii="仿宋" w:eastAsia="仿宋" w:hAnsi="仿宋" w:cs="仿宋" w:hint="eastAsia"/>
          <w:sz w:val="28"/>
          <w:szCs w:val="28"/>
        </w:rPr>
        <w:t>边球是指球</w:t>
      </w:r>
      <w:proofErr w:type="gramEnd"/>
      <w:r>
        <w:rPr>
          <w:rFonts w:ascii="仿宋" w:eastAsia="仿宋" w:hAnsi="仿宋" w:cs="仿宋" w:hint="eastAsia"/>
          <w:sz w:val="28"/>
          <w:szCs w:val="28"/>
        </w:rPr>
        <w:t>被打倒球桌侧面且低于球桌水平面，在这种情况下，对方得分。</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选手们接球时最多允许使用除了手和手臂以外的其他任何身体部位触球三次（双打比赛时，两名球员合计可以击球三次）。</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双打比赛中，接球方必须在回球前完成至少一次传球。</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比赛中禁止连续使用同一个身体部位触球两次（膝盖以下所有部位触球都视为用脚触球）。双打比赛中，两名求援可以使用同</w:t>
      </w:r>
      <w:proofErr w:type="gramStart"/>
      <w:r>
        <w:rPr>
          <w:rFonts w:ascii="仿宋" w:eastAsia="仿宋" w:hAnsi="仿宋" w:cs="仿宋" w:hint="eastAsia"/>
          <w:sz w:val="28"/>
          <w:szCs w:val="28"/>
        </w:rPr>
        <w:t>一身体</w:t>
      </w:r>
      <w:proofErr w:type="gramEnd"/>
      <w:r>
        <w:rPr>
          <w:rFonts w:ascii="仿宋" w:eastAsia="仿宋" w:hAnsi="仿宋" w:cs="仿宋" w:hint="eastAsia"/>
          <w:sz w:val="28"/>
          <w:szCs w:val="28"/>
        </w:rPr>
        <w:t>部位传球。</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比赛中禁止连续两次使用同一个身体部位进行回球。</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比赛时不能接触比赛器械和对方球员。</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如果回球时球击在球网弹上起且还未落到桌面或地面，回球方可以在允许的触球次数下继续比赛。</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在回球的一瞬间，触球球员所有身体部位（除了手和手臂）不得越过球网的延长虚线。</w:t>
      </w:r>
    </w:p>
    <w:p w:rsidR="00506DFC" w:rsidRDefault="00EF3646">
      <w:pPr>
        <w:pStyle w:val="Default"/>
        <w:numPr>
          <w:ilvl w:val="0"/>
          <w:numId w:val="3"/>
        </w:numPr>
        <w:rPr>
          <w:rFonts w:ascii="仿宋" w:eastAsia="仿宋" w:hAnsi="仿宋" w:cs="仿宋"/>
          <w:sz w:val="28"/>
          <w:szCs w:val="28"/>
        </w:rPr>
      </w:pPr>
      <w:r>
        <w:rPr>
          <w:rFonts w:ascii="仿宋" w:eastAsia="仿宋" w:hAnsi="仿宋" w:cs="仿宋" w:hint="eastAsia"/>
          <w:sz w:val="28"/>
          <w:szCs w:val="28"/>
        </w:rPr>
        <w:t>如果球触网之后在对方球桌上连续弹三次或以上，</w:t>
      </w:r>
      <w:proofErr w:type="gramStart"/>
      <w:r>
        <w:rPr>
          <w:rFonts w:ascii="仿宋" w:eastAsia="仿宋" w:hAnsi="仿宋" w:cs="仿宋" w:hint="eastAsia"/>
          <w:sz w:val="28"/>
          <w:szCs w:val="28"/>
        </w:rPr>
        <w:t>需重开球</w:t>
      </w:r>
      <w:proofErr w:type="gramEnd"/>
      <w:r>
        <w:rPr>
          <w:rFonts w:ascii="仿宋" w:eastAsia="仿宋" w:hAnsi="仿宋" w:cs="仿宋" w:hint="eastAsia"/>
          <w:sz w:val="28"/>
          <w:szCs w:val="28"/>
        </w:rPr>
        <w:t>。</w:t>
      </w:r>
      <w:r>
        <w:rPr>
          <w:rFonts w:ascii="仿宋" w:eastAsia="仿宋" w:hAnsi="仿宋" w:cs="仿宋" w:hint="eastAsia"/>
          <w:sz w:val="28"/>
          <w:szCs w:val="28"/>
        </w:rPr>
        <w:lastRenderedPageBreak/>
        <w:t>回球时球的运动轨迹必须高于球网的延长虚线。</w:t>
      </w:r>
    </w:p>
    <w:p w:rsidR="00506DFC" w:rsidRDefault="00EF3646">
      <w:pPr>
        <w:pStyle w:val="Default"/>
        <w:numPr>
          <w:ilvl w:val="0"/>
          <w:numId w:val="2"/>
        </w:numPr>
        <w:rPr>
          <w:rFonts w:ascii="仿宋" w:eastAsia="仿宋" w:hAnsi="仿宋" w:cs="仿宋"/>
          <w:sz w:val="28"/>
          <w:szCs w:val="28"/>
        </w:rPr>
      </w:pPr>
      <w:r>
        <w:rPr>
          <w:rFonts w:ascii="仿宋" w:eastAsia="仿宋" w:hAnsi="仿宋" w:cs="仿宋" w:hint="eastAsia"/>
          <w:sz w:val="28"/>
          <w:szCs w:val="28"/>
        </w:rPr>
        <w:t>赛程：</w:t>
      </w:r>
    </w:p>
    <w:p w:rsidR="00506DFC" w:rsidRDefault="00EF3646">
      <w:pPr>
        <w:pStyle w:val="Default"/>
        <w:numPr>
          <w:ilvl w:val="0"/>
          <w:numId w:val="4"/>
        </w:numPr>
        <w:ind w:left="420"/>
        <w:rPr>
          <w:rFonts w:ascii="仿宋" w:eastAsia="仿宋" w:hAnsi="仿宋" w:cs="仿宋"/>
          <w:sz w:val="28"/>
          <w:szCs w:val="28"/>
        </w:rPr>
      </w:pPr>
      <w:r>
        <w:rPr>
          <w:rFonts w:ascii="仿宋" w:eastAsia="仿宋" w:hAnsi="仿宋" w:cs="仿宋" w:hint="eastAsia"/>
          <w:sz w:val="28"/>
          <w:szCs w:val="28"/>
        </w:rPr>
        <w:t>赛事的竞赛日程由赛事组委会制定，各参赛队伍必须严格遵守。16支球队分为4个小组，每组4支球队，进行单循环小组赛，小组第一名和第二名晋级淘汰赛阶段；交叉对阵决出八强最终排名。</w:t>
      </w:r>
    </w:p>
    <w:p w:rsidR="00506DFC" w:rsidRDefault="00EF3646">
      <w:pPr>
        <w:pStyle w:val="Default"/>
        <w:numPr>
          <w:ilvl w:val="0"/>
          <w:numId w:val="4"/>
        </w:numPr>
        <w:ind w:left="420"/>
        <w:rPr>
          <w:rFonts w:ascii="仿宋" w:eastAsia="仿宋" w:hAnsi="仿宋" w:cs="仿宋"/>
          <w:sz w:val="28"/>
          <w:szCs w:val="28"/>
        </w:rPr>
      </w:pPr>
      <w:r>
        <w:rPr>
          <w:rFonts w:ascii="仿宋" w:eastAsia="仿宋" w:hAnsi="仿宋" w:cs="仿宋" w:hint="eastAsia"/>
          <w:sz w:val="28"/>
          <w:szCs w:val="28"/>
        </w:rPr>
        <w:t>如遇到不可抗拒的原因，赛事组委会有权对赛程做出调整或更改。</w:t>
      </w:r>
    </w:p>
    <w:p w:rsidR="00506DFC" w:rsidRDefault="00EF3646">
      <w:pPr>
        <w:pStyle w:val="Default"/>
        <w:numPr>
          <w:ilvl w:val="0"/>
          <w:numId w:val="4"/>
        </w:numPr>
        <w:ind w:left="420"/>
        <w:rPr>
          <w:rFonts w:ascii="仿宋" w:eastAsia="仿宋" w:hAnsi="仿宋" w:cs="仿宋"/>
          <w:sz w:val="28"/>
          <w:szCs w:val="28"/>
        </w:rPr>
      </w:pPr>
      <w:r>
        <w:rPr>
          <w:rFonts w:ascii="仿宋" w:eastAsia="仿宋" w:hAnsi="仿宋" w:cs="仿宋" w:hint="eastAsia"/>
          <w:sz w:val="28"/>
          <w:szCs w:val="28"/>
        </w:rPr>
        <w:t>赛事的各场比赛开始时间由赛事组委会在开赛前统一确定。</w:t>
      </w:r>
    </w:p>
    <w:p w:rsidR="00506DFC" w:rsidRDefault="00EF3646">
      <w:pPr>
        <w:pStyle w:val="Default"/>
        <w:numPr>
          <w:ilvl w:val="0"/>
          <w:numId w:val="1"/>
        </w:numPr>
        <w:rPr>
          <w:rFonts w:ascii="仿宋" w:eastAsia="仿宋" w:hAnsi="仿宋" w:cs="仿宋"/>
          <w:b/>
          <w:bCs/>
          <w:sz w:val="28"/>
          <w:szCs w:val="28"/>
        </w:rPr>
      </w:pPr>
      <w:r>
        <w:rPr>
          <w:rFonts w:ascii="仿宋" w:eastAsia="仿宋" w:hAnsi="仿宋" w:cs="仿宋" w:hint="eastAsia"/>
          <w:b/>
          <w:bCs/>
          <w:sz w:val="28"/>
          <w:szCs w:val="28"/>
        </w:rPr>
        <w:t>器材规格</w:t>
      </w:r>
    </w:p>
    <w:p w:rsidR="00506DFC" w:rsidRDefault="00EF3646">
      <w:pPr>
        <w:pStyle w:val="Default"/>
        <w:rPr>
          <w:rFonts w:ascii="仿宋" w:eastAsia="仿宋" w:hAnsi="仿宋" w:cs="仿宋"/>
          <w:sz w:val="28"/>
          <w:szCs w:val="28"/>
        </w:rPr>
      </w:pPr>
      <w:r>
        <w:rPr>
          <w:rFonts w:ascii="仿宋" w:eastAsia="仿宋" w:hAnsi="仿宋" w:cs="仿宋" w:hint="eastAsia"/>
          <w:b/>
          <w:bCs/>
          <w:sz w:val="28"/>
          <w:szCs w:val="28"/>
        </w:rPr>
        <w:t xml:space="preserve">  </w:t>
      </w:r>
      <w:r>
        <w:rPr>
          <w:rFonts w:ascii="仿宋" w:eastAsia="仿宋" w:hAnsi="仿宋" w:cs="仿宋" w:hint="eastAsia"/>
          <w:sz w:val="28"/>
          <w:szCs w:val="28"/>
        </w:rPr>
        <w:t>球台尺寸  长：3米</w:t>
      </w:r>
    </w:p>
    <w:p w:rsidR="00506DFC" w:rsidRDefault="00EF3646">
      <w:pPr>
        <w:pStyle w:val="Default"/>
        <w:rPr>
          <w:rFonts w:ascii="仿宋" w:eastAsia="仿宋" w:hAnsi="仿宋" w:cs="仿宋"/>
          <w:sz w:val="28"/>
          <w:szCs w:val="28"/>
        </w:rPr>
      </w:pPr>
      <w:r>
        <w:rPr>
          <w:rFonts w:ascii="仿宋" w:eastAsia="仿宋" w:hAnsi="仿宋" w:cs="仿宋" w:hint="eastAsia"/>
          <w:sz w:val="28"/>
          <w:szCs w:val="28"/>
        </w:rPr>
        <w:t xml:space="preserve">            宽：1.7米（包含球网） </w:t>
      </w:r>
    </w:p>
    <w:p w:rsidR="00506DFC" w:rsidRDefault="00EF3646">
      <w:pPr>
        <w:pStyle w:val="Default"/>
        <w:rPr>
          <w:rFonts w:ascii="仿宋" w:eastAsia="仿宋" w:hAnsi="仿宋" w:cs="仿宋"/>
          <w:sz w:val="28"/>
          <w:szCs w:val="28"/>
        </w:rPr>
      </w:pPr>
      <w:r>
        <w:rPr>
          <w:rFonts w:ascii="仿宋" w:eastAsia="仿宋" w:hAnsi="仿宋" w:cs="仿宋" w:hint="eastAsia"/>
          <w:sz w:val="28"/>
          <w:szCs w:val="28"/>
        </w:rPr>
        <w:t xml:space="preserve">            高：0.9米（包含球网） </w:t>
      </w:r>
    </w:p>
    <w:p w:rsidR="00506DFC" w:rsidRDefault="00EF3646">
      <w:pPr>
        <w:pStyle w:val="Default"/>
        <w:rPr>
          <w:rFonts w:ascii="仿宋" w:eastAsia="仿宋" w:hAnsi="仿宋" w:cs="仿宋"/>
          <w:sz w:val="28"/>
          <w:szCs w:val="28"/>
        </w:rPr>
      </w:pPr>
      <w:r>
        <w:rPr>
          <w:rFonts w:ascii="仿宋" w:eastAsia="仿宋" w:hAnsi="仿宋" w:cs="仿宋" w:hint="eastAsia"/>
          <w:sz w:val="28"/>
          <w:szCs w:val="28"/>
        </w:rPr>
        <w:t xml:space="preserve">  比赛用球：标准5号球</w:t>
      </w:r>
    </w:p>
    <w:p w:rsidR="00506DFC" w:rsidRDefault="00EF3646">
      <w:pPr>
        <w:pStyle w:val="Default"/>
        <w:ind w:firstLineChars="600" w:firstLine="1680"/>
        <w:rPr>
          <w:rFonts w:ascii="仿宋" w:eastAsia="仿宋" w:hAnsi="仿宋" w:cs="仿宋"/>
          <w:sz w:val="28"/>
          <w:szCs w:val="28"/>
        </w:rPr>
      </w:pPr>
      <w:r>
        <w:rPr>
          <w:rFonts w:ascii="仿宋" w:eastAsia="仿宋" w:hAnsi="仿宋" w:cs="仿宋" w:hint="eastAsia"/>
          <w:sz w:val="28"/>
          <w:szCs w:val="28"/>
        </w:rPr>
        <w:t>周常不超过70厘米，不小于68厘米；重量不超过450克，</w:t>
      </w:r>
    </w:p>
    <w:p w:rsidR="00506DFC" w:rsidRDefault="00EF3646">
      <w:pPr>
        <w:pStyle w:val="Default"/>
        <w:rPr>
          <w:rFonts w:ascii="仿宋" w:eastAsia="仿宋" w:hAnsi="仿宋" w:cs="仿宋"/>
          <w:b/>
          <w:bCs/>
          <w:sz w:val="28"/>
          <w:szCs w:val="28"/>
        </w:rPr>
      </w:pPr>
      <w:r>
        <w:rPr>
          <w:rFonts w:ascii="仿宋" w:eastAsia="仿宋" w:hAnsi="仿宋" w:cs="仿宋" w:hint="eastAsia"/>
          <w:sz w:val="28"/>
          <w:szCs w:val="28"/>
        </w:rPr>
        <w:t xml:space="preserve">            不低于410克；球内气压在海平面为0.6-1.1大气压力。</w:t>
      </w:r>
    </w:p>
    <w:p w:rsidR="00506DFC" w:rsidRDefault="00EF3646">
      <w:pPr>
        <w:pStyle w:val="Default"/>
        <w:numPr>
          <w:ilvl w:val="0"/>
          <w:numId w:val="1"/>
        </w:numPr>
        <w:rPr>
          <w:rFonts w:ascii="仿宋" w:eastAsia="仿宋" w:hAnsi="仿宋" w:cs="仿宋"/>
          <w:b/>
          <w:bCs/>
          <w:sz w:val="28"/>
          <w:szCs w:val="28"/>
        </w:rPr>
      </w:pPr>
      <w:r>
        <w:rPr>
          <w:rFonts w:ascii="仿宋" w:eastAsia="仿宋" w:hAnsi="仿宋" w:cs="仿宋" w:hint="eastAsia"/>
          <w:b/>
          <w:bCs/>
          <w:sz w:val="28"/>
          <w:szCs w:val="28"/>
        </w:rPr>
        <w:t>参赛办法及参赛资格</w:t>
      </w:r>
    </w:p>
    <w:p w:rsidR="00506DFC" w:rsidRDefault="00EF3646">
      <w:pPr>
        <w:jc w:val="left"/>
        <w:rPr>
          <w:rFonts w:ascii="仿宋" w:eastAsia="仿宋" w:hAnsi="仿宋"/>
          <w:sz w:val="28"/>
          <w:szCs w:val="28"/>
        </w:rPr>
      </w:pPr>
      <w:r>
        <w:rPr>
          <w:rFonts w:ascii="仿宋" w:eastAsia="仿宋" w:hAnsi="仿宋" w:hint="eastAsia"/>
          <w:sz w:val="28"/>
          <w:szCs w:val="28"/>
        </w:rPr>
        <w:t>（一）参赛运动员由参加沙滩足球项目的队伍选派，比赛为双打，2人一对，每队选派人数不限。</w:t>
      </w:r>
    </w:p>
    <w:p w:rsidR="00A26365" w:rsidRDefault="00EF3646">
      <w:pPr>
        <w:pStyle w:val="Default"/>
        <w:rPr>
          <w:rFonts w:ascii="仿宋" w:eastAsia="仿宋" w:hAnsi="仿宋"/>
          <w:bCs/>
          <w:sz w:val="28"/>
          <w:szCs w:val="28"/>
        </w:rPr>
      </w:pPr>
      <w:r>
        <w:rPr>
          <w:rFonts w:ascii="仿宋" w:eastAsia="仿宋" w:hAnsi="仿宋" w:hint="eastAsia"/>
          <w:bCs/>
          <w:sz w:val="28"/>
          <w:szCs w:val="28"/>
        </w:rPr>
        <w:t>（二）参赛运动员参赛时，需提交县级以上医院体检健康证明；同时，还需提交运动人身意外伤害保险单。</w:t>
      </w:r>
    </w:p>
    <w:p w:rsidR="00506DFC" w:rsidRDefault="00EF3646">
      <w:pPr>
        <w:pStyle w:val="Default"/>
        <w:rPr>
          <w:rFonts w:ascii="仿宋" w:eastAsia="仿宋" w:hAnsi="仿宋" w:cs="仿宋"/>
          <w:b/>
          <w:bCs/>
          <w:sz w:val="28"/>
          <w:szCs w:val="28"/>
        </w:rPr>
      </w:pPr>
      <w:r>
        <w:rPr>
          <w:rFonts w:ascii="仿宋" w:eastAsia="仿宋" w:hAnsi="仿宋" w:hint="eastAsia"/>
          <w:sz w:val="30"/>
          <w:szCs w:val="30"/>
        </w:rPr>
        <w:t>（三）所有参赛人员须按组委会要求提供新冠肺炎疫苗接种证明、5日内核酸检测阴性报告和绿色个人健康码、</w:t>
      </w:r>
      <w:r>
        <w:rPr>
          <w:rFonts w:ascii="仿宋" w:eastAsia="仿宋" w:hAnsi="仿宋" w:cs="仿宋" w:hint="eastAsia"/>
          <w:sz w:val="30"/>
          <w:szCs w:val="30"/>
        </w:rPr>
        <w:t>签署</w:t>
      </w:r>
      <w:r w:rsidR="00A26365" w:rsidRPr="00A26365">
        <w:rPr>
          <w:rFonts w:ascii="仿宋" w:eastAsia="仿宋" w:hAnsi="仿宋" w:hint="eastAsia"/>
          <w:sz w:val="30"/>
          <w:szCs w:val="30"/>
        </w:rPr>
        <w:t>《个人参赛免</w:t>
      </w:r>
      <w:r w:rsidR="00A26365" w:rsidRPr="00A26365">
        <w:rPr>
          <w:rFonts w:ascii="仿宋" w:eastAsia="仿宋" w:hAnsi="仿宋" w:hint="eastAsia"/>
          <w:sz w:val="30"/>
          <w:szCs w:val="30"/>
        </w:rPr>
        <w:lastRenderedPageBreak/>
        <w:t>责和防疫承诺书》</w:t>
      </w:r>
      <w:r>
        <w:rPr>
          <w:rFonts w:ascii="仿宋" w:eastAsia="仿宋" w:hAnsi="仿宋" w:hint="eastAsia"/>
          <w:sz w:val="30"/>
          <w:szCs w:val="30"/>
        </w:rPr>
        <w:t>（请在“中企体育”</w:t>
      </w:r>
      <w:proofErr w:type="gramStart"/>
      <w:r>
        <w:rPr>
          <w:rFonts w:ascii="仿宋" w:eastAsia="仿宋" w:hAnsi="仿宋" w:hint="eastAsia"/>
          <w:sz w:val="30"/>
          <w:szCs w:val="30"/>
        </w:rPr>
        <w:t>微信公众号</w:t>
      </w:r>
      <w:proofErr w:type="gramEnd"/>
      <w:r>
        <w:rPr>
          <w:rFonts w:ascii="仿宋" w:eastAsia="仿宋" w:hAnsi="仿宋" w:hint="eastAsia"/>
          <w:sz w:val="30"/>
          <w:szCs w:val="30"/>
        </w:rPr>
        <w:t>阅读下载）。来自中高风险地区的人员谢绝参赛。</w:t>
      </w:r>
    </w:p>
    <w:p w:rsidR="00506DFC" w:rsidRDefault="00EF3646">
      <w:pPr>
        <w:pStyle w:val="Default"/>
        <w:numPr>
          <w:ilvl w:val="0"/>
          <w:numId w:val="1"/>
        </w:numPr>
        <w:rPr>
          <w:rFonts w:ascii="仿宋" w:eastAsia="仿宋" w:hAnsi="仿宋" w:cs="仿宋"/>
          <w:b/>
          <w:bCs/>
          <w:sz w:val="28"/>
          <w:szCs w:val="28"/>
        </w:rPr>
      </w:pPr>
      <w:r>
        <w:rPr>
          <w:rFonts w:ascii="仿宋" w:eastAsia="仿宋" w:hAnsi="仿宋" w:cs="仿宋" w:hint="eastAsia"/>
          <w:b/>
          <w:bCs/>
          <w:sz w:val="28"/>
          <w:szCs w:val="28"/>
        </w:rPr>
        <w:t>裁判组</w:t>
      </w:r>
    </w:p>
    <w:p w:rsidR="00506DFC" w:rsidRDefault="00EF3646">
      <w:pPr>
        <w:jc w:val="left"/>
        <w:rPr>
          <w:rFonts w:ascii="仿宋" w:eastAsia="仿宋" w:hAnsi="仿宋"/>
          <w:sz w:val="28"/>
          <w:szCs w:val="28"/>
        </w:rPr>
      </w:pPr>
      <w:r>
        <w:rPr>
          <w:rFonts w:ascii="仿宋" w:eastAsia="仿宋" w:hAnsi="仿宋" w:hint="eastAsia"/>
          <w:sz w:val="28"/>
          <w:szCs w:val="28"/>
        </w:rPr>
        <w:t xml:space="preserve"> （一）比赛裁判长、裁判员由中国企业体育协会选派。设裁判长1人，裁判员4人。</w:t>
      </w:r>
    </w:p>
    <w:p w:rsidR="00506DFC" w:rsidRDefault="00EF3646">
      <w:pPr>
        <w:jc w:val="left"/>
        <w:rPr>
          <w:rFonts w:ascii="仿宋" w:eastAsia="仿宋" w:hAnsi="仿宋" w:cs="仿宋"/>
          <w:b/>
          <w:bCs/>
          <w:sz w:val="28"/>
          <w:szCs w:val="28"/>
        </w:rPr>
      </w:pPr>
      <w:r>
        <w:rPr>
          <w:rFonts w:ascii="仿宋" w:eastAsia="仿宋" w:hAnsi="仿宋" w:hint="eastAsia"/>
          <w:sz w:val="28"/>
          <w:szCs w:val="28"/>
        </w:rPr>
        <w:t xml:space="preserve"> （二）仲裁委员会的组成和职责按国际</w:t>
      </w:r>
      <w:proofErr w:type="gramStart"/>
      <w:r>
        <w:rPr>
          <w:rFonts w:ascii="仿宋" w:eastAsia="仿宋" w:hAnsi="仿宋" w:hint="eastAsia"/>
          <w:sz w:val="28"/>
          <w:szCs w:val="28"/>
        </w:rPr>
        <w:t>台克球</w:t>
      </w:r>
      <w:proofErr w:type="gramEnd"/>
      <w:r>
        <w:rPr>
          <w:rFonts w:ascii="仿宋" w:eastAsia="仿宋" w:hAnsi="仿宋" w:hint="eastAsia"/>
          <w:sz w:val="28"/>
          <w:szCs w:val="28"/>
        </w:rPr>
        <w:t>联合会最新版本的《沙滩台克球竞赛规则》中规定执行。</w:t>
      </w:r>
    </w:p>
    <w:p w:rsidR="00506DFC" w:rsidRDefault="00EF3646">
      <w:pPr>
        <w:pStyle w:val="Default"/>
        <w:numPr>
          <w:ilvl w:val="0"/>
          <w:numId w:val="1"/>
        </w:numPr>
        <w:rPr>
          <w:rFonts w:ascii="仿宋" w:eastAsia="仿宋" w:hAnsi="仿宋" w:cs="仿宋"/>
          <w:b/>
          <w:bCs/>
          <w:sz w:val="28"/>
          <w:szCs w:val="28"/>
        </w:rPr>
      </w:pPr>
      <w:r>
        <w:rPr>
          <w:rFonts w:ascii="仿宋" w:eastAsia="仿宋" w:hAnsi="仿宋" w:cs="仿宋" w:hint="eastAsia"/>
          <w:b/>
          <w:bCs/>
          <w:sz w:val="28"/>
          <w:szCs w:val="28"/>
        </w:rPr>
        <w:t>纪律和申诉</w:t>
      </w:r>
    </w:p>
    <w:p w:rsidR="00506DFC" w:rsidRDefault="00EF3646">
      <w:pPr>
        <w:pStyle w:val="Default"/>
        <w:numPr>
          <w:ilvl w:val="0"/>
          <w:numId w:val="5"/>
        </w:numPr>
        <w:rPr>
          <w:rFonts w:ascii="仿宋" w:eastAsia="仿宋" w:hAnsi="仿宋" w:cs="仿宋"/>
          <w:sz w:val="28"/>
          <w:szCs w:val="28"/>
        </w:rPr>
      </w:pPr>
      <w:proofErr w:type="gramStart"/>
      <w:r>
        <w:rPr>
          <w:rFonts w:ascii="仿宋" w:eastAsia="仿宋" w:hAnsi="仿宋" w:cs="仿宋" w:hint="eastAsia"/>
          <w:sz w:val="28"/>
          <w:szCs w:val="28"/>
        </w:rPr>
        <w:t>若参</w:t>
      </w:r>
      <w:proofErr w:type="gramEnd"/>
      <w:r>
        <w:rPr>
          <w:rFonts w:ascii="仿宋" w:eastAsia="仿宋" w:hAnsi="仿宋" w:cs="仿宋" w:hint="eastAsia"/>
          <w:sz w:val="28"/>
          <w:szCs w:val="28"/>
        </w:rPr>
        <w:t>赛者被证实做出欺诈行为或违反了现行的竞赛项目规则，除将被取消参赛资格外，一切已获得的名次及成绩也将同时予以取消。若该参赛队伍的组织成员同时被证实有欺诈行为，则组委会有权取消该参赛队伍此项目参赛资格。</w:t>
      </w:r>
    </w:p>
    <w:p w:rsidR="00506DFC" w:rsidRDefault="00EF3646">
      <w:pPr>
        <w:pStyle w:val="Default"/>
        <w:numPr>
          <w:ilvl w:val="0"/>
          <w:numId w:val="5"/>
        </w:numPr>
        <w:rPr>
          <w:rFonts w:ascii="仿宋" w:eastAsia="仿宋" w:hAnsi="仿宋" w:cs="仿宋"/>
          <w:sz w:val="28"/>
          <w:szCs w:val="28"/>
        </w:rPr>
      </w:pPr>
      <w:r>
        <w:rPr>
          <w:rFonts w:ascii="仿宋" w:eastAsia="仿宋" w:hAnsi="仿宋" w:cs="仿宋" w:hint="eastAsia"/>
          <w:sz w:val="28"/>
          <w:szCs w:val="28"/>
        </w:rPr>
        <w:t>参赛队伍对赛事组委会纪律委员会处理结果不服，可上诉</w:t>
      </w:r>
      <w:proofErr w:type="gramStart"/>
      <w:r>
        <w:rPr>
          <w:rFonts w:ascii="仿宋" w:eastAsia="仿宋" w:hAnsi="仿宋" w:cs="仿宋" w:hint="eastAsia"/>
          <w:sz w:val="28"/>
          <w:szCs w:val="28"/>
        </w:rPr>
        <w:t>至仲裁</w:t>
      </w:r>
      <w:proofErr w:type="gramEnd"/>
      <w:r>
        <w:rPr>
          <w:rFonts w:ascii="仿宋" w:eastAsia="仿宋" w:hAnsi="仿宋" w:cs="仿宋" w:hint="eastAsia"/>
          <w:sz w:val="28"/>
          <w:szCs w:val="28"/>
        </w:rPr>
        <w:t>委员会，由仲裁委员会负责处理。</w:t>
      </w:r>
    </w:p>
    <w:p w:rsidR="00506DFC" w:rsidRDefault="00EF3646">
      <w:pPr>
        <w:pStyle w:val="Default"/>
        <w:numPr>
          <w:ilvl w:val="0"/>
          <w:numId w:val="1"/>
        </w:numPr>
        <w:rPr>
          <w:rFonts w:ascii="仿宋" w:eastAsia="仿宋" w:hAnsi="仿宋" w:cs="仿宋"/>
          <w:b/>
          <w:bCs/>
          <w:sz w:val="28"/>
          <w:szCs w:val="28"/>
        </w:rPr>
      </w:pPr>
      <w:r>
        <w:rPr>
          <w:rFonts w:ascii="仿宋" w:eastAsia="仿宋" w:hAnsi="仿宋" w:cs="仿宋" w:hint="eastAsia"/>
          <w:b/>
          <w:bCs/>
          <w:sz w:val="28"/>
          <w:szCs w:val="28"/>
        </w:rPr>
        <w:t>本规程解释和修改权属于2021（第二届）中国职工沙滩运动会组委会；未尽事项，另行通知。</w:t>
      </w:r>
    </w:p>
    <w:p w:rsidR="00506DFC" w:rsidRDefault="00EF3646">
      <w:pPr>
        <w:jc w:val="left"/>
        <w:rPr>
          <w:rFonts w:ascii="仿宋" w:eastAsia="仿宋" w:hAnsi="仿宋"/>
          <w:b/>
          <w:sz w:val="28"/>
          <w:szCs w:val="28"/>
        </w:rPr>
      </w:pPr>
      <w:r>
        <w:rPr>
          <w:rFonts w:ascii="仿宋" w:eastAsia="仿宋" w:hAnsi="仿宋" w:hint="eastAsia"/>
          <w:b/>
          <w:sz w:val="28"/>
          <w:szCs w:val="28"/>
        </w:rPr>
        <w:t xml:space="preserve">                      </w:t>
      </w:r>
    </w:p>
    <w:p w:rsidR="00506DFC" w:rsidRDefault="00506DFC">
      <w:pPr>
        <w:pStyle w:val="Default"/>
        <w:rPr>
          <w:rFonts w:ascii="仿宋" w:eastAsia="仿宋" w:hAnsi="仿宋"/>
          <w:b/>
          <w:sz w:val="28"/>
          <w:szCs w:val="28"/>
        </w:rPr>
      </w:pPr>
    </w:p>
    <w:p w:rsidR="00506DFC" w:rsidRDefault="00506DFC">
      <w:pPr>
        <w:pStyle w:val="Default"/>
        <w:rPr>
          <w:rFonts w:ascii="仿宋" w:eastAsia="仿宋" w:hAnsi="仿宋"/>
          <w:b/>
          <w:sz w:val="28"/>
          <w:szCs w:val="28"/>
        </w:rPr>
      </w:pPr>
    </w:p>
    <w:p w:rsidR="00506DFC" w:rsidRDefault="00506DFC">
      <w:pPr>
        <w:pStyle w:val="Default"/>
      </w:pPr>
    </w:p>
    <w:p w:rsidR="00506DFC" w:rsidRDefault="00506DFC">
      <w:pPr>
        <w:pStyle w:val="ac"/>
        <w:ind w:firstLineChars="0" w:firstLine="0"/>
        <w:jc w:val="center"/>
        <w:rPr>
          <w:rFonts w:ascii="仿宋" w:eastAsia="仿宋" w:hAnsi="仿宋"/>
          <w:b/>
          <w:sz w:val="32"/>
          <w:szCs w:val="32"/>
        </w:rPr>
      </w:pPr>
    </w:p>
    <w:sectPr w:rsidR="00506DFC">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0E" w:rsidRDefault="00E4150E">
      <w:r>
        <w:separator/>
      </w:r>
    </w:p>
  </w:endnote>
  <w:endnote w:type="continuationSeparator" w:id="0">
    <w:p w:rsidR="00E4150E" w:rsidRDefault="00E4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3404"/>
    </w:sdtPr>
    <w:sdtEndPr/>
    <w:sdtContent>
      <w:p w:rsidR="00506DFC" w:rsidRDefault="00E4150E">
        <w:pPr>
          <w:pStyle w:val="a5"/>
          <w:jc w:val="center"/>
        </w:pPr>
      </w:p>
    </w:sdtContent>
  </w:sdt>
  <w:p w:rsidR="00506DFC" w:rsidRDefault="00506D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0E" w:rsidRDefault="00E4150E">
      <w:r>
        <w:separator/>
      </w:r>
    </w:p>
  </w:footnote>
  <w:footnote w:type="continuationSeparator" w:id="0">
    <w:p w:rsidR="00E4150E" w:rsidRDefault="00E41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50F43"/>
    <w:multiLevelType w:val="singleLevel"/>
    <w:tmpl w:val="A6450F43"/>
    <w:lvl w:ilvl="0">
      <w:start w:val="1"/>
      <w:numFmt w:val="chineseCounting"/>
      <w:suff w:val="nothing"/>
      <w:lvlText w:val="（%1）"/>
      <w:lvlJc w:val="left"/>
      <w:rPr>
        <w:rFonts w:hint="eastAsia"/>
      </w:rPr>
    </w:lvl>
  </w:abstractNum>
  <w:abstractNum w:abstractNumId="1">
    <w:nsid w:val="33F63D65"/>
    <w:multiLevelType w:val="singleLevel"/>
    <w:tmpl w:val="33F63D65"/>
    <w:lvl w:ilvl="0">
      <w:start w:val="1"/>
      <w:numFmt w:val="decimal"/>
      <w:suff w:val="nothing"/>
      <w:lvlText w:val="%1、"/>
      <w:lvlJc w:val="left"/>
      <w:pPr>
        <w:ind w:left="420" w:firstLine="0"/>
      </w:pPr>
    </w:lvl>
  </w:abstractNum>
  <w:abstractNum w:abstractNumId="2">
    <w:nsid w:val="469BC97F"/>
    <w:multiLevelType w:val="singleLevel"/>
    <w:tmpl w:val="469BC97F"/>
    <w:lvl w:ilvl="0">
      <w:start w:val="1"/>
      <w:numFmt w:val="decimal"/>
      <w:suff w:val="nothing"/>
      <w:lvlText w:val="%1、"/>
      <w:lvlJc w:val="left"/>
    </w:lvl>
  </w:abstractNum>
  <w:abstractNum w:abstractNumId="3">
    <w:nsid w:val="591018F1"/>
    <w:multiLevelType w:val="singleLevel"/>
    <w:tmpl w:val="591018F1"/>
    <w:lvl w:ilvl="0">
      <w:start w:val="1"/>
      <w:numFmt w:val="chineseCounting"/>
      <w:suff w:val="nothing"/>
      <w:lvlText w:val="%1、"/>
      <w:lvlJc w:val="left"/>
      <w:rPr>
        <w:rFonts w:hint="eastAsia"/>
      </w:rPr>
    </w:lvl>
  </w:abstractNum>
  <w:abstractNum w:abstractNumId="4">
    <w:nsid w:val="6FFF7897"/>
    <w:multiLevelType w:val="singleLevel"/>
    <w:tmpl w:val="6FFF7897"/>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32C"/>
    <w:rsid w:val="000136DC"/>
    <w:rsid w:val="00024CA9"/>
    <w:rsid w:val="00032DF9"/>
    <w:rsid w:val="00090C97"/>
    <w:rsid w:val="0009327D"/>
    <w:rsid w:val="000D31CF"/>
    <w:rsid w:val="00103979"/>
    <w:rsid w:val="00106885"/>
    <w:rsid w:val="0011549F"/>
    <w:rsid w:val="0011678C"/>
    <w:rsid w:val="001170EF"/>
    <w:rsid w:val="001174D3"/>
    <w:rsid w:val="001224FC"/>
    <w:rsid w:val="00123D03"/>
    <w:rsid w:val="001249E6"/>
    <w:rsid w:val="00137AF0"/>
    <w:rsid w:val="00143769"/>
    <w:rsid w:val="00156A98"/>
    <w:rsid w:val="00190280"/>
    <w:rsid w:val="0019261A"/>
    <w:rsid w:val="0019749F"/>
    <w:rsid w:val="001A1EE4"/>
    <w:rsid w:val="001D46DB"/>
    <w:rsid w:val="001D67D0"/>
    <w:rsid w:val="001F0FF9"/>
    <w:rsid w:val="00220902"/>
    <w:rsid w:val="00223188"/>
    <w:rsid w:val="00227AEC"/>
    <w:rsid w:val="002447FD"/>
    <w:rsid w:val="00245D6B"/>
    <w:rsid w:val="00261288"/>
    <w:rsid w:val="0026267B"/>
    <w:rsid w:val="002C7F3A"/>
    <w:rsid w:val="002E672E"/>
    <w:rsid w:val="002F01DB"/>
    <w:rsid w:val="002F4C38"/>
    <w:rsid w:val="002F5EA0"/>
    <w:rsid w:val="002F6F0B"/>
    <w:rsid w:val="003026EF"/>
    <w:rsid w:val="00322A5C"/>
    <w:rsid w:val="0032332C"/>
    <w:rsid w:val="00330344"/>
    <w:rsid w:val="00340D61"/>
    <w:rsid w:val="00346BE6"/>
    <w:rsid w:val="0036271E"/>
    <w:rsid w:val="003A7F8F"/>
    <w:rsid w:val="003B5DAC"/>
    <w:rsid w:val="003E7FA6"/>
    <w:rsid w:val="003F3973"/>
    <w:rsid w:val="004072C0"/>
    <w:rsid w:val="00413725"/>
    <w:rsid w:val="00414DD2"/>
    <w:rsid w:val="004172FF"/>
    <w:rsid w:val="004406A7"/>
    <w:rsid w:val="004614AE"/>
    <w:rsid w:val="004724B8"/>
    <w:rsid w:val="00491BC7"/>
    <w:rsid w:val="004A372A"/>
    <w:rsid w:val="004D0470"/>
    <w:rsid w:val="004E0C2B"/>
    <w:rsid w:val="00506DFC"/>
    <w:rsid w:val="00506FFC"/>
    <w:rsid w:val="0051266E"/>
    <w:rsid w:val="005150DB"/>
    <w:rsid w:val="00516B19"/>
    <w:rsid w:val="00524CD4"/>
    <w:rsid w:val="005711BB"/>
    <w:rsid w:val="00572E22"/>
    <w:rsid w:val="00573D25"/>
    <w:rsid w:val="00582B32"/>
    <w:rsid w:val="005840AC"/>
    <w:rsid w:val="005937C6"/>
    <w:rsid w:val="005A0ADE"/>
    <w:rsid w:val="005B535A"/>
    <w:rsid w:val="005B79AF"/>
    <w:rsid w:val="005D67DE"/>
    <w:rsid w:val="00654705"/>
    <w:rsid w:val="00661B2D"/>
    <w:rsid w:val="00663BBE"/>
    <w:rsid w:val="00694405"/>
    <w:rsid w:val="0069513C"/>
    <w:rsid w:val="006B6B7F"/>
    <w:rsid w:val="006C5489"/>
    <w:rsid w:val="00725A10"/>
    <w:rsid w:val="00745E76"/>
    <w:rsid w:val="007552C9"/>
    <w:rsid w:val="007576D1"/>
    <w:rsid w:val="0076449A"/>
    <w:rsid w:val="00785B25"/>
    <w:rsid w:val="007B48F7"/>
    <w:rsid w:val="007E248C"/>
    <w:rsid w:val="007F35AA"/>
    <w:rsid w:val="008067F6"/>
    <w:rsid w:val="008148F8"/>
    <w:rsid w:val="00834151"/>
    <w:rsid w:val="00844EE0"/>
    <w:rsid w:val="00846080"/>
    <w:rsid w:val="0084636B"/>
    <w:rsid w:val="00853B76"/>
    <w:rsid w:val="008605FC"/>
    <w:rsid w:val="0087469E"/>
    <w:rsid w:val="008836DE"/>
    <w:rsid w:val="0089340C"/>
    <w:rsid w:val="008A7112"/>
    <w:rsid w:val="008C160D"/>
    <w:rsid w:val="008E1045"/>
    <w:rsid w:val="008E57A8"/>
    <w:rsid w:val="008F35AA"/>
    <w:rsid w:val="009068A5"/>
    <w:rsid w:val="00912391"/>
    <w:rsid w:val="009337D1"/>
    <w:rsid w:val="00940E3A"/>
    <w:rsid w:val="0095179B"/>
    <w:rsid w:val="00952CFB"/>
    <w:rsid w:val="0095314E"/>
    <w:rsid w:val="009617DB"/>
    <w:rsid w:val="009647E7"/>
    <w:rsid w:val="00966FB4"/>
    <w:rsid w:val="00970E0D"/>
    <w:rsid w:val="00970E96"/>
    <w:rsid w:val="00973631"/>
    <w:rsid w:val="0099702F"/>
    <w:rsid w:val="009A7CF6"/>
    <w:rsid w:val="009E7426"/>
    <w:rsid w:val="009F758B"/>
    <w:rsid w:val="00A06A99"/>
    <w:rsid w:val="00A14781"/>
    <w:rsid w:val="00A26365"/>
    <w:rsid w:val="00A47661"/>
    <w:rsid w:val="00A47991"/>
    <w:rsid w:val="00A50655"/>
    <w:rsid w:val="00A9268F"/>
    <w:rsid w:val="00A95C9D"/>
    <w:rsid w:val="00AA4632"/>
    <w:rsid w:val="00AB110D"/>
    <w:rsid w:val="00AC042A"/>
    <w:rsid w:val="00AC5192"/>
    <w:rsid w:val="00AD6D0B"/>
    <w:rsid w:val="00AD766B"/>
    <w:rsid w:val="00AF4DFA"/>
    <w:rsid w:val="00B06F8A"/>
    <w:rsid w:val="00B156A9"/>
    <w:rsid w:val="00B30C4D"/>
    <w:rsid w:val="00B37193"/>
    <w:rsid w:val="00B55B92"/>
    <w:rsid w:val="00B56809"/>
    <w:rsid w:val="00B73C3D"/>
    <w:rsid w:val="00BB029D"/>
    <w:rsid w:val="00BB2DD1"/>
    <w:rsid w:val="00BB669B"/>
    <w:rsid w:val="00BC5405"/>
    <w:rsid w:val="00BE133C"/>
    <w:rsid w:val="00BE329A"/>
    <w:rsid w:val="00BF5786"/>
    <w:rsid w:val="00C0171A"/>
    <w:rsid w:val="00C0203D"/>
    <w:rsid w:val="00C16EFD"/>
    <w:rsid w:val="00C207A1"/>
    <w:rsid w:val="00C258E3"/>
    <w:rsid w:val="00C30589"/>
    <w:rsid w:val="00C33358"/>
    <w:rsid w:val="00C41D39"/>
    <w:rsid w:val="00C46EE5"/>
    <w:rsid w:val="00C848D1"/>
    <w:rsid w:val="00C91C5D"/>
    <w:rsid w:val="00C93F5D"/>
    <w:rsid w:val="00CA225E"/>
    <w:rsid w:val="00CA2A6C"/>
    <w:rsid w:val="00CA5D38"/>
    <w:rsid w:val="00CB08E3"/>
    <w:rsid w:val="00CB6FDA"/>
    <w:rsid w:val="00CC5A4C"/>
    <w:rsid w:val="00CD644C"/>
    <w:rsid w:val="00CE4C00"/>
    <w:rsid w:val="00CE7BAB"/>
    <w:rsid w:val="00CF185D"/>
    <w:rsid w:val="00D2506D"/>
    <w:rsid w:val="00D313B8"/>
    <w:rsid w:val="00D37A4E"/>
    <w:rsid w:val="00D404D6"/>
    <w:rsid w:val="00D70D39"/>
    <w:rsid w:val="00D962D6"/>
    <w:rsid w:val="00DC446C"/>
    <w:rsid w:val="00DC482F"/>
    <w:rsid w:val="00DC609E"/>
    <w:rsid w:val="00E06238"/>
    <w:rsid w:val="00E2598C"/>
    <w:rsid w:val="00E4150E"/>
    <w:rsid w:val="00E644B9"/>
    <w:rsid w:val="00E721C8"/>
    <w:rsid w:val="00EA0D8A"/>
    <w:rsid w:val="00EA61C1"/>
    <w:rsid w:val="00EB5ADD"/>
    <w:rsid w:val="00EC4138"/>
    <w:rsid w:val="00EC78E9"/>
    <w:rsid w:val="00ED2F1C"/>
    <w:rsid w:val="00EF1A55"/>
    <w:rsid w:val="00EF3646"/>
    <w:rsid w:val="00F05B1B"/>
    <w:rsid w:val="00F05BAF"/>
    <w:rsid w:val="00F06D79"/>
    <w:rsid w:val="00F1421E"/>
    <w:rsid w:val="00F5559D"/>
    <w:rsid w:val="00F64066"/>
    <w:rsid w:val="00F765FC"/>
    <w:rsid w:val="00F96818"/>
    <w:rsid w:val="00FA7E75"/>
    <w:rsid w:val="00FE1887"/>
    <w:rsid w:val="00FF6920"/>
    <w:rsid w:val="01326BFB"/>
    <w:rsid w:val="024D262D"/>
    <w:rsid w:val="03DA14F7"/>
    <w:rsid w:val="040A3697"/>
    <w:rsid w:val="04B52685"/>
    <w:rsid w:val="06C208BF"/>
    <w:rsid w:val="07AD36D7"/>
    <w:rsid w:val="0B4034F4"/>
    <w:rsid w:val="0B8938BB"/>
    <w:rsid w:val="0F120455"/>
    <w:rsid w:val="100B5AB5"/>
    <w:rsid w:val="10253896"/>
    <w:rsid w:val="108F24E4"/>
    <w:rsid w:val="10907265"/>
    <w:rsid w:val="12606A83"/>
    <w:rsid w:val="149F15AB"/>
    <w:rsid w:val="152C1DBE"/>
    <w:rsid w:val="155A2037"/>
    <w:rsid w:val="15E42296"/>
    <w:rsid w:val="16D702EE"/>
    <w:rsid w:val="170512DE"/>
    <w:rsid w:val="191F6239"/>
    <w:rsid w:val="19B7348C"/>
    <w:rsid w:val="1A876064"/>
    <w:rsid w:val="1B09496E"/>
    <w:rsid w:val="1B895F31"/>
    <w:rsid w:val="1BBB46FA"/>
    <w:rsid w:val="1C054DFE"/>
    <w:rsid w:val="1D7455FB"/>
    <w:rsid w:val="1DE85B40"/>
    <w:rsid w:val="1E671FD4"/>
    <w:rsid w:val="1F982058"/>
    <w:rsid w:val="20404667"/>
    <w:rsid w:val="22510930"/>
    <w:rsid w:val="245E49E6"/>
    <w:rsid w:val="25597472"/>
    <w:rsid w:val="284D033D"/>
    <w:rsid w:val="287326F5"/>
    <w:rsid w:val="2A5A0587"/>
    <w:rsid w:val="2B501024"/>
    <w:rsid w:val="2B645765"/>
    <w:rsid w:val="2BD829E2"/>
    <w:rsid w:val="2BE6747A"/>
    <w:rsid w:val="2C835F49"/>
    <w:rsid w:val="2DA15146"/>
    <w:rsid w:val="2E0268AF"/>
    <w:rsid w:val="2EA368BA"/>
    <w:rsid w:val="32880771"/>
    <w:rsid w:val="329A6CD0"/>
    <w:rsid w:val="35532B28"/>
    <w:rsid w:val="35ED1ECD"/>
    <w:rsid w:val="361A73E8"/>
    <w:rsid w:val="36405C0D"/>
    <w:rsid w:val="3698069A"/>
    <w:rsid w:val="387B79DC"/>
    <w:rsid w:val="39623A40"/>
    <w:rsid w:val="398E3DC1"/>
    <w:rsid w:val="3A58718C"/>
    <w:rsid w:val="3C787A81"/>
    <w:rsid w:val="415E6FE4"/>
    <w:rsid w:val="44B1050F"/>
    <w:rsid w:val="460003B5"/>
    <w:rsid w:val="461D79FB"/>
    <w:rsid w:val="46DD5EB9"/>
    <w:rsid w:val="4768540C"/>
    <w:rsid w:val="494C16F7"/>
    <w:rsid w:val="4982407D"/>
    <w:rsid w:val="49D21412"/>
    <w:rsid w:val="4E3515B4"/>
    <w:rsid w:val="4FFD02E4"/>
    <w:rsid w:val="55302260"/>
    <w:rsid w:val="554365B3"/>
    <w:rsid w:val="558D6B98"/>
    <w:rsid w:val="55A92C73"/>
    <w:rsid w:val="55CD23DD"/>
    <w:rsid w:val="56242996"/>
    <w:rsid w:val="56B74825"/>
    <w:rsid w:val="587965CC"/>
    <w:rsid w:val="591A5DF1"/>
    <w:rsid w:val="59A10F5A"/>
    <w:rsid w:val="59BD5522"/>
    <w:rsid w:val="5A3C0C6D"/>
    <w:rsid w:val="5B9C5867"/>
    <w:rsid w:val="5CE01DE9"/>
    <w:rsid w:val="5E5C66D6"/>
    <w:rsid w:val="5EE44090"/>
    <w:rsid w:val="5F152431"/>
    <w:rsid w:val="61DA2BA7"/>
    <w:rsid w:val="62D065F5"/>
    <w:rsid w:val="635D6D49"/>
    <w:rsid w:val="649E1963"/>
    <w:rsid w:val="655156AC"/>
    <w:rsid w:val="65F52AF8"/>
    <w:rsid w:val="66DB1640"/>
    <w:rsid w:val="682262A2"/>
    <w:rsid w:val="6CA668D8"/>
    <w:rsid w:val="6CB024C4"/>
    <w:rsid w:val="6D531D60"/>
    <w:rsid w:val="6FCC5B6B"/>
    <w:rsid w:val="70E45540"/>
    <w:rsid w:val="71962AC0"/>
    <w:rsid w:val="7250502A"/>
    <w:rsid w:val="73760B7D"/>
    <w:rsid w:val="74D23559"/>
    <w:rsid w:val="76704FD9"/>
    <w:rsid w:val="788E1463"/>
    <w:rsid w:val="78F75E7B"/>
    <w:rsid w:val="7B701AD4"/>
    <w:rsid w:val="7C665C9C"/>
    <w:rsid w:val="7D2C4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styleId="7">
    <w:name w:val="toc 7"/>
    <w:basedOn w:val="a"/>
    <w:next w:val="a"/>
    <w:uiPriority w:val="39"/>
    <w:unhideWhenUsed/>
    <w:qFormat/>
    <w:pPr>
      <w:ind w:left="1260"/>
      <w:jc w:val="left"/>
    </w:pPr>
    <w:rPr>
      <w:sz w:val="18"/>
      <w:szCs w:val="18"/>
    </w:rPr>
  </w:style>
  <w:style w:type="paragraph" w:styleId="a3">
    <w:name w:val="annotation text"/>
    <w:basedOn w:val="a"/>
    <w:uiPriority w:val="99"/>
    <w:semiHidden/>
    <w:unhideWhenUsed/>
    <w:qFormat/>
    <w:pPr>
      <w:jc w:val="left"/>
    </w:pPr>
  </w:style>
  <w:style w:type="paragraph" w:styleId="5">
    <w:name w:val="toc 5"/>
    <w:basedOn w:val="a"/>
    <w:next w:val="a"/>
    <w:uiPriority w:val="39"/>
    <w:unhideWhenUsed/>
    <w:qFormat/>
    <w:pPr>
      <w:ind w:left="840"/>
      <w:jc w:val="left"/>
    </w:pPr>
    <w:rPr>
      <w:sz w:val="18"/>
      <w:szCs w:val="18"/>
    </w:rPr>
  </w:style>
  <w:style w:type="paragraph" w:styleId="3">
    <w:name w:val="toc 3"/>
    <w:basedOn w:val="a"/>
    <w:next w:val="a"/>
    <w:uiPriority w:val="39"/>
    <w:unhideWhenUsed/>
    <w:qFormat/>
    <w:pPr>
      <w:ind w:left="420"/>
      <w:jc w:val="left"/>
    </w:pPr>
    <w:rPr>
      <w:i/>
      <w:iCs/>
      <w:sz w:val="20"/>
      <w:szCs w:val="20"/>
    </w:rPr>
  </w:style>
  <w:style w:type="paragraph" w:styleId="8">
    <w:name w:val="toc 8"/>
    <w:basedOn w:val="a"/>
    <w:next w:val="a"/>
    <w:uiPriority w:val="39"/>
    <w:unhideWhenUsed/>
    <w:qFormat/>
    <w:pPr>
      <w:ind w:left="1470"/>
      <w:jc w:val="left"/>
    </w:pPr>
    <w:rPr>
      <w:sz w:val="18"/>
      <w:szCs w:val="18"/>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b/>
      <w:bCs/>
      <w:caps/>
      <w:sz w:val="20"/>
      <w:szCs w:val="20"/>
    </w:rPr>
  </w:style>
  <w:style w:type="paragraph" w:styleId="4">
    <w:name w:val="toc 4"/>
    <w:basedOn w:val="a"/>
    <w:next w:val="a"/>
    <w:uiPriority w:val="39"/>
    <w:unhideWhenUsed/>
    <w:qFormat/>
    <w:pPr>
      <w:ind w:left="630"/>
      <w:jc w:val="left"/>
    </w:pPr>
    <w:rPr>
      <w:sz w:val="18"/>
      <w:szCs w:val="18"/>
    </w:rPr>
  </w:style>
  <w:style w:type="paragraph" w:styleId="a7">
    <w:name w:val="Subtitle"/>
    <w:basedOn w:val="a"/>
    <w:next w:val="a"/>
    <w:link w:val="Char2"/>
    <w:qFormat/>
    <w:pPr>
      <w:spacing w:line="576" w:lineRule="exact"/>
      <w:ind w:firstLineChars="200" w:firstLine="200"/>
      <w:jc w:val="left"/>
      <w:outlineLvl w:val="1"/>
    </w:pPr>
    <w:rPr>
      <w:rFonts w:ascii="等线" w:eastAsia="仿宋_GB2312" w:hAnsi="等线" w:cs="Times New Roman"/>
      <w:b/>
      <w:bCs/>
      <w:kern w:val="28"/>
      <w:sz w:val="32"/>
      <w:szCs w:val="32"/>
    </w:rPr>
  </w:style>
  <w:style w:type="paragraph" w:styleId="a8">
    <w:name w:val="footnote text"/>
    <w:basedOn w:val="a"/>
    <w:link w:val="Char3"/>
    <w:uiPriority w:val="99"/>
    <w:semiHidden/>
    <w:unhideWhenUsed/>
    <w:qFormat/>
    <w:pPr>
      <w:snapToGrid w:val="0"/>
      <w:jc w:val="left"/>
    </w:pPr>
    <w:rPr>
      <w:sz w:val="18"/>
      <w:szCs w:val="18"/>
    </w:rPr>
  </w:style>
  <w:style w:type="paragraph" w:styleId="6">
    <w:name w:val="toc 6"/>
    <w:basedOn w:val="a"/>
    <w:next w:val="a"/>
    <w:uiPriority w:val="39"/>
    <w:unhideWhenUsed/>
    <w:qFormat/>
    <w:pPr>
      <w:ind w:left="1050"/>
      <w:jc w:val="left"/>
    </w:pPr>
    <w:rPr>
      <w:sz w:val="18"/>
      <w:szCs w:val="18"/>
    </w:rPr>
  </w:style>
  <w:style w:type="paragraph" w:styleId="2">
    <w:name w:val="toc 2"/>
    <w:basedOn w:val="a"/>
    <w:next w:val="a"/>
    <w:uiPriority w:val="39"/>
    <w:unhideWhenUsed/>
    <w:qFormat/>
    <w:pPr>
      <w:ind w:left="210"/>
      <w:jc w:val="left"/>
    </w:pPr>
    <w:rPr>
      <w:smallCaps/>
      <w:sz w:val="20"/>
      <w:szCs w:val="20"/>
    </w:rPr>
  </w:style>
  <w:style w:type="paragraph" w:styleId="9">
    <w:name w:val="toc 9"/>
    <w:basedOn w:val="a"/>
    <w:next w:val="a"/>
    <w:uiPriority w:val="39"/>
    <w:unhideWhenUsed/>
    <w:qFormat/>
    <w:pPr>
      <w:ind w:left="1680"/>
      <w:jc w:val="left"/>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qFormat/>
    <w:rPr>
      <w:sz w:val="21"/>
      <w:szCs w:val="21"/>
    </w:rPr>
  </w:style>
  <w:style w:type="character" w:styleId="ab">
    <w:name w:val="footnote reference"/>
    <w:basedOn w:val="a0"/>
    <w:uiPriority w:val="99"/>
    <w:semiHidden/>
    <w:unhideWhenUsed/>
    <w:qFormat/>
    <w:rPr>
      <w:vertAlign w:val="superscript"/>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4"/>
    <w:uiPriority w:val="99"/>
    <w:semiHidden/>
    <w:qFormat/>
    <w:rPr>
      <w:sz w:val="18"/>
      <w:szCs w:val="18"/>
    </w:rPr>
  </w:style>
  <w:style w:type="character" w:customStyle="1" w:styleId="Char3">
    <w:name w:val="脚注文本 Char"/>
    <w:basedOn w:val="a0"/>
    <w:link w:val="a8"/>
    <w:uiPriority w:val="99"/>
    <w:semiHidden/>
    <w:qFormat/>
    <w:rPr>
      <w:sz w:val="18"/>
      <w:szCs w:val="18"/>
    </w:rPr>
  </w:style>
  <w:style w:type="paragraph" w:styleId="ad">
    <w:name w:val="No Spacing"/>
    <w:link w:val="Char4"/>
    <w:uiPriority w:val="1"/>
    <w:qFormat/>
    <w:rPr>
      <w:rFonts w:asciiTheme="minorHAnsi" w:eastAsiaTheme="minorEastAsia" w:hAnsiTheme="minorHAnsi" w:cstheme="minorBidi"/>
      <w:sz w:val="22"/>
      <w:szCs w:val="22"/>
    </w:rPr>
  </w:style>
  <w:style w:type="character" w:customStyle="1" w:styleId="Char4">
    <w:name w:val="无间隔 Char"/>
    <w:basedOn w:val="a0"/>
    <w:link w:val="ad"/>
    <w:uiPriority w:val="1"/>
    <w:qFormat/>
    <w:rPr>
      <w:kern w:val="0"/>
      <w:sz w:val="22"/>
    </w:rPr>
  </w:style>
  <w:style w:type="character" w:customStyle="1" w:styleId="Char2">
    <w:name w:val="副标题 Char"/>
    <w:basedOn w:val="a0"/>
    <w:link w:val="a7"/>
    <w:qFormat/>
    <w:rPr>
      <w:rFonts w:ascii="等线" w:eastAsia="仿宋_GB2312" w:hAnsi="等线" w:cs="Times New Roman"/>
      <w:b/>
      <w:bCs/>
      <w:kern w:val="28"/>
      <w:sz w:val="32"/>
      <w:szCs w:val="32"/>
    </w:rPr>
  </w:style>
  <w:style w:type="paragraph" w:customStyle="1" w:styleId="20">
    <w:name w:val="列出段落2"/>
    <w:basedOn w:val="a"/>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92FEE-A6FC-41CE-B8DD-8BB90B0B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dc:creator>
  <cp:lastModifiedBy>江江</cp:lastModifiedBy>
  <cp:revision>110</cp:revision>
  <dcterms:created xsi:type="dcterms:W3CDTF">2019-08-05T05:10:00Z</dcterms:created>
  <dcterms:modified xsi:type="dcterms:W3CDTF">2021-10-21T03:22:00Z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3246D0932AA9498C9AFAD41EA27F3CAD</vt:lpwstr>
  </property>
</Properties>
</file>