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ind w:left="0" w:leftChars="0" w:firstLine="642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在新冠肺炎疫情防控常态化背景下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有关群众体育工作安全风险防控要点</w:t>
      </w:r>
    </w:p>
    <w:p>
      <w:pPr>
        <w:ind w:left="0" w:leftChars="0"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为贯彻落实党中央、国务院关于新型冠状病毒肺炎疫情防控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常态化工作部署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公共体育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设施有序开放、群众体育赛事活动有序开展，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保障群众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安全，制定本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工作要点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一、公共体育设施开放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公共体育设施开放应达到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防疫、应急、疏散、产品质量和消防安全标准，在新冠疫情防控方面应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重点做好以下工作。</w:t>
      </w:r>
    </w:p>
    <w:p>
      <w:pPr>
        <w:numPr>
          <w:ilvl w:val="0"/>
          <w:numId w:val="0"/>
        </w:numPr>
        <w:ind w:left="0" w:leftChars="0" w:firstLine="642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（一）控制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员流量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预约测温验码。进入相对封闭场所的健身人员应进行本人信息扫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登记，“绿码”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准入。对拒绝接受扫码、体温检测或体温异常者，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应进行劝退，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谢绝入场。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运动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。滑雪、滑板项目人均运动面积不小于20平方米，滑冰、轮滑项目人均运动面积不小于5平方米，人工泳池人均游泳面积不小于5平方米，其他室内运动项目人均运动面积不小于4平方米。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加强开放期间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场地巡查和人流动态监控，防止人员聚集。体育项目培训、健身辅导、团体操课等集体活动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在保证人员不聚集和保持安全距离的前提下，按照健身场地最小人均运动面积要求确定人员规模。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应通过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电话、微信、APP、小程序等预约方式进行客流限制，引导顾客分时段锻炼，避免人群聚集。</w:t>
      </w:r>
    </w:p>
    <w:p>
      <w:pPr>
        <w:ind w:left="0" w:leftChars="0" w:firstLine="642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保持环境清洁卫生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通风。室内场所应优先采用自然通风，每天早、中、晚至少开窗通风3次，每次不少于1小时，有条件的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室内场所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开启排风扇等抽气装置加强室内空气流动。如使用集中空调，应在开启前检查设备确保运行正常，确保新风取风口与排风口之间保持一定距离，对冷却塔等进行清洗，保持新风口清洁；运行过程中以最大新风量运行，加强对冷却水、冷凝水等卫生管理，定期对送风口等设备和部件进行清洗、消毒或更换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加强消毒。公共体育设施运营方应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地疾控部门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疫消毒要求，每天定时对公共设施设备及高频接触的物体表面（如走廊、扶梯、座椅、公共卫生间及手经常触摸的地方等）进行清洁消毒，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定期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对健身场所、卫生间、公共淋浴间等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消毒，做好记录。有条件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可在电梯口和服务台等处配备速干手消毒剂或感应式手消毒设备。公共卫生间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配备足够洗手液，保证水龙头等供水设施正常工作。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及时清理垃圾，设置口罩专用垃圾收集箱。</w:t>
      </w:r>
    </w:p>
    <w:p>
      <w:pPr>
        <w:numPr>
          <w:ilvl w:val="0"/>
          <w:numId w:val="0"/>
        </w:numPr>
        <w:ind w:left="0" w:leftChars="0" w:firstLine="642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）做好应急处置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预案和准备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公共体育设施运营方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应建立科学、规范、及时、有效的疫情防控应急预案。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发现有新冠肺炎症状人员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，应立即采取暂时隔离措施，启动应急预案，配合疾控部门将相关人员转运至发热门诊排查救治；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在有症状人员被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诊断为疑似或确诊新冠肺炎后，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配合疾控部门做好处置工作，在当地疾控机构指导下对场所进行终末消毒，同时对空调通风系统进行清洗和消毒处理，经卫生学评价合格后方可重新启用。</w:t>
      </w:r>
    </w:p>
    <w:p>
      <w:pPr>
        <w:numPr>
          <w:ilvl w:val="0"/>
          <w:numId w:val="0"/>
        </w:numPr>
        <w:ind w:left="0" w:leftChars="0" w:firstLine="642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（四）加强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员工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管理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公共体育设施运营方应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员工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管理和教育，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督促员工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严格遵守所在地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相关规定，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在工作场所和住所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落实防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措施，配合疫情处置。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建立员工健康状况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动态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监测制度，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督促员工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积极接种疫苗、定期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接受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核酸检测。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员工在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工作期间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佩戴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医用外科口罩或以上级别口罩，戴一次性手套。</w:t>
      </w:r>
    </w:p>
    <w:p>
      <w:pPr>
        <w:numPr>
          <w:ilvl w:val="0"/>
          <w:numId w:val="0"/>
        </w:numPr>
        <w:ind w:left="0" w:leftChars="0" w:firstLine="642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（五）强化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监督检查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各级体育行政部门应定期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对公共体育设施开放进行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督导检查，发现问题及时督促整改。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人员流动性强、空气流动性差的游泳场馆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体育场所，应纳入属地重点场所环境检测范围，定期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环境核酸检测。公共体育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设施运营方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应积极接受并主动配合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督导检查，对存在的问题及时整改，依法依规落实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安全风险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防控责任。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应注意保障老年人健身权益，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为老年人提供电话预约服务或在白天时段有空场情况下免预约入场。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二、群众体育赛事活动举办</w:t>
      </w:r>
    </w:p>
    <w:bookmarkEnd w:id="0"/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>要认真落实运动项目办赛指南及其他关于安全生产的标准规范，根据线上、线下不同赛事活动特点加强安全风险防控，做好以下工作。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leftChars="0" w:right="0" w:rightChars="0" w:firstLine="642" w:firstLineChars="200"/>
        <w:jc w:val="left"/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u w:val="none"/>
        </w:rPr>
      </w:pPr>
      <w:r>
        <w:rPr>
          <w:rFonts w:hint="default" w:ascii="仿宋" w:hAnsi="仿宋" w:eastAsia="仿宋" w:cs="仿宋"/>
          <w:b/>
          <w:bCs/>
          <w:i w:val="0"/>
          <w:iCs w:val="0"/>
          <w:color w:val="000000"/>
          <w:sz w:val="32"/>
          <w:szCs w:val="32"/>
          <w:u w:val="none"/>
        </w:rPr>
        <w:t>压实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u w:val="none"/>
        </w:rPr>
        <w:t>赛事</w:t>
      </w:r>
      <w:r>
        <w:rPr>
          <w:rFonts w:hint="default" w:ascii="仿宋" w:hAnsi="仿宋" w:eastAsia="仿宋" w:cs="仿宋"/>
          <w:b/>
          <w:bCs/>
          <w:i w:val="0"/>
          <w:iCs w:val="0"/>
          <w:color w:val="000000"/>
          <w:sz w:val="32"/>
          <w:szCs w:val="32"/>
          <w:u w:val="none"/>
        </w:rPr>
        <w:t>活动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u w:val="none"/>
        </w:rPr>
        <w:t>举办</w:t>
      </w:r>
      <w:r>
        <w:rPr>
          <w:rFonts w:hint="default" w:ascii="仿宋" w:hAnsi="仿宋" w:eastAsia="仿宋" w:cs="仿宋"/>
          <w:b/>
          <w:bCs/>
          <w:i w:val="0"/>
          <w:iCs w:val="0"/>
          <w:color w:val="000000"/>
          <w:sz w:val="32"/>
          <w:szCs w:val="32"/>
          <w:u w:val="none"/>
        </w:rPr>
        <w:t>各方责任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要认真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落实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>《关于进一步加强体育赛事活动安全监管服务的意见》（体规字〔2021〕3号）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u w:val="none"/>
          <w:lang w:eastAsia="zh-CN"/>
        </w:rPr>
        <w:t>《</w:t>
      </w:r>
      <w:r>
        <w:rPr>
          <w:rStyle w:val="9"/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关于建立健全体育赛事活动“熔断”机制的通知》</w:t>
      </w:r>
      <w:r>
        <w:rPr>
          <w:rStyle w:val="9"/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>体规字〔2022〕3号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  <w:t>各项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>要求，将疫情防控、安全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>风险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>防范放在组织工作的突出重要位置</w:t>
      </w:r>
      <w:r>
        <w:rPr>
          <w:rFonts w:hint="default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>。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>主办方要按照“谁主管、谁负责”</w:t>
      </w:r>
      <w:r>
        <w:rPr>
          <w:rFonts w:hint="default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>和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>“属地管理”的原则，落实赛事活动举办方安全主体责任，严格赛事活动安全监管责任</w:t>
      </w:r>
      <w:r>
        <w:rPr>
          <w:rFonts w:hint="default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承办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方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>及场地设施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>运营方</w:t>
      </w:r>
      <w:r>
        <w:rPr>
          <w:rFonts w:hint="default" w:ascii="仿宋" w:hAnsi="仿宋" w:eastAsia="仿宋" w:cs="仿宋"/>
          <w:i w:val="0"/>
          <w:iCs w:val="0"/>
          <w:color w:val="000000"/>
          <w:sz w:val="32"/>
          <w:szCs w:val="32"/>
          <w:u w:val="none"/>
          <w:lang w:eastAsia="zh-CN"/>
        </w:rPr>
        <w:t>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开展必要的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安全教育，提高安全意识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根据当地疫情防控有关规定和赛事活动实际情况，限定参与人员范围，加强对参赛人员健康状况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审查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积极引导、指导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>赛事活动参加者服从组织者的管理，严格执行疫情防控措施，加强个人防护，主动配合做好身体健康检测、信息登记等工作。</w:t>
      </w:r>
    </w:p>
    <w:p>
      <w:pPr>
        <w:pStyle w:val="6"/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leftChars="0" w:right="0" w:rightChars="0" w:firstLine="0" w:firstLineChars="0"/>
        <w:jc w:val="left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   （二）完善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安全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风险防控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措施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>制订安全工作方案和应急预案。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配齐具有相应资质的专业技术人员，配置符合相关标准和要求的场地、器材和设施，严格落实通信、安全、交通、卫生、食品、应急救援、消防等安全措施，确保出现紧急情况能够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迅速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处置。对赛事活动的所有参与人员应进行风险评估和实名制管理，实行“健康码”绿码准入制度，做到核酸检测全覆盖，加强每日健康状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况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监测，并根据属地相关要求进行必要的申报或者登记。根据赛事活动规模、项目特点、人群密度，配备足够数量的医护人员和防护物资，对相关人员进行个人防护、消毒程序、测温登记、异常情况处置等培训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加强对与赛事活动相关的住宿、饮食、交通、比赛场地、比赛器材等的隐患排查，做到不留死角、不留后患。各比赛场地要认真落实测温验码、通风消毒、佩戴口罩等防疫措施。</w:t>
      </w:r>
    </w:p>
    <w:p>
      <w:pPr>
        <w:pStyle w:val="6"/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leftChars="0" w:right="0" w:rightChars="0" w:firstLine="0" w:firstLineChars="0"/>
        <w:jc w:val="left"/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u w:val="none"/>
        </w:rPr>
      </w:pPr>
      <w:r>
        <w:rPr>
          <w:rFonts w:hint="default" w:ascii="仿宋" w:hAnsi="仿宋" w:eastAsia="仿宋" w:cs="仿宋"/>
          <w:b/>
          <w:bCs/>
          <w:i w:val="0"/>
          <w:iCs w:val="0"/>
          <w:color w:val="000000"/>
          <w:sz w:val="32"/>
          <w:szCs w:val="32"/>
          <w:u w:val="none"/>
        </w:rPr>
        <w:t xml:space="preserve">    （三）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u w:val="none"/>
        </w:rPr>
        <w:t>坚持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  <w:t>分类指导和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u w:val="none"/>
        </w:rPr>
        <w:t>动态调整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>根据各地疫情风险等级变化和防控要求，动态调整完善赛事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>活动举办日程、举办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>规模。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疫情风险处于中、高等级地区、近期出现本土病例的城市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不得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举办群众体育赛事活动；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>低风险地区在科学评估疫情风险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>坚决贯彻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>安全风险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>防控要求的前提下，周密制定具体工作方案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>并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>经属地政府和疫情防控领导机制审核评估后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>可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>有序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>组织开展群众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>体育赛事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>活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>动。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赛事活动举办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条件发生变化时，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赛事活动组织者应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及时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对赛事活动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作出相应调整。</w:t>
      </w:r>
    </w:p>
    <w:p>
      <w:pPr>
        <w:pStyle w:val="6"/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leftChars="0" w:right="0" w:rightChars="0" w:firstLine="0" w:firstLineChars="0"/>
        <w:jc w:val="left"/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u w:val="none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auto"/>
        </w:rPr>
        <w:t>（四）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u w:val="none"/>
        </w:rPr>
        <w:t>建立健全“熔断机制”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i w:val="0"/>
          <w:i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地方各级体育行政部门要在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>当地党委、政府领导下，按照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>属地管理原则，做好赛事活动突发事件应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>对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>，督促赛事活动组织者密切关注气象、水利、地震、自然资源、交通运输、卫生健康、应急管理等部门发出的预警信息及有关灾害、事故信息，加强防范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>参与人数较多、人身危险性较高或专业技术性较强的赛事活动，遇有直接或可能与赛事活动举办相关联的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>自然灾害、事故灾难、公共卫生事件、社会安全事件时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>，应启动“熔断机制”。</w:t>
      </w:r>
    </w:p>
    <w:p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</w:t>
      </w:r>
    </w:p>
    <w:sectPr>
      <w:footerReference r:id="rId3" w:type="default"/>
      <w:pgSz w:w="11906" w:h="16838"/>
      <w:pgMar w:top="280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2A6EAD"/>
    <w:multiLevelType w:val="singleLevel"/>
    <w:tmpl w:val="C72A6EA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2ZTM2NmY5NzhhN2FhOTVhNTMwYmM4NDczYTQ1MzUifQ=="/>
  </w:docVars>
  <w:rsids>
    <w:rsidRoot w:val="00000000"/>
    <w:rsid w:val="00AB1812"/>
    <w:rsid w:val="020471A6"/>
    <w:rsid w:val="031A0897"/>
    <w:rsid w:val="048B3532"/>
    <w:rsid w:val="059F22C5"/>
    <w:rsid w:val="066300A9"/>
    <w:rsid w:val="066F0BD6"/>
    <w:rsid w:val="08964B56"/>
    <w:rsid w:val="08AA23AF"/>
    <w:rsid w:val="0A1E4450"/>
    <w:rsid w:val="0F0C6664"/>
    <w:rsid w:val="0FC87CEA"/>
    <w:rsid w:val="114C04A7"/>
    <w:rsid w:val="11627CCB"/>
    <w:rsid w:val="11975CCC"/>
    <w:rsid w:val="1211524D"/>
    <w:rsid w:val="127D190F"/>
    <w:rsid w:val="144B7BDF"/>
    <w:rsid w:val="150D619F"/>
    <w:rsid w:val="15966A1F"/>
    <w:rsid w:val="1B261D69"/>
    <w:rsid w:val="1DD17CE5"/>
    <w:rsid w:val="21CB18BC"/>
    <w:rsid w:val="21ED5BD6"/>
    <w:rsid w:val="22C239AC"/>
    <w:rsid w:val="23865A9B"/>
    <w:rsid w:val="24003A9F"/>
    <w:rsid w:val="262442AC"/>
    <w:rsid w:val="27BA5D13"/>
    <w:rsid w:val="28612632"/>
    <w:rsid w:val="293F0948"/>
    <w:rsid w:val="2A197E92"/>
    <w:rsid w:val="2ACC2303"/>
    <w:rsid w:val="2AEF2177"/>
    <w:rsid w:val="2AF41C35"/>
    <w:rsid w:val="2BAF7B59"/>
    <w:rsid w:val="2C3371AE"/>
    <w:rsid w:val="2DBC5251"/>
    <w:rsid w:val="2E6E2305"/>
    <w:rsid w:val="2ED31DB0"/>
    <w:rsid w:val="2F067A90"/>
    <w:rsid w:val="304C5976"/>
    <w:rsid w:val="30F027A5"/>
    <w:rsid w:val="347324CB"/>
    <w:rsid w:val="34CB012C"/>
    <w:rsid w:val="359E64AC"/>
    <w:rsid w:val="36A84BD1"/>
    <w:rsid w:val="3756532C"/>
    <w:rsid w:val="38341A0A"/>
    <w:rsid w:val="390842F2"/>
    <w:rsid w:val="390908A8"/>
    <w:rsid w:val="3BD056AD"/>
    <w:rsid w:val="3C187054"/>
    <w:rsid w:val="3D94095C"/>
    <w:rsid w:val="3E210442"/>
    <w:rsid w:val="3F0264C5"/>
    <w:rsid w:val="3FD249E5"/>
    <w:rsid w:val="40055B41"/>
    <w:rsid w:val="414F52C6"/>
    <w:rsid w:val="42B44D10"/>
    <w:rsid w:val="42D71A17"/>
    <w:rsid w:val="4399229E"/>
    <w:rsid w:val="439E6F77"/>
    <w:rsid w:val="43AF029E"/>
    <w:rsid w:val="46A77952"/>
    <w:rsid w:val="49557B3A"/>
    <w:rsid w:val="49A737AF"/>
    <w:rsid w:val="49F870C8"/>
    <w:rsid w:val="4AAD305D"/>
    <w:rsid w:val="4C243F0A"/>
    <w:rsid w:val="4E323FA5"/>
    <w:rsid w:val="4F5C39D0"/>
    <w:rsid w:val="50B138A7"/>
    <w:rsid w:val="518B6549"/>
    <w:rsid w:val="528D42BC"/>
    <w:rsid w:val="530F48B5"/>
    <w:rsid w:val="53A07C03"/>
    <w:rsid w:val="560B7692"/>
    <w:rsid w:val="58C83E84"/>
    <w:rsid w:val="59341C6D"/>
    <w:rsid w:val="59BC506B"/>
    <w:rsid w:val="5A643739"/>
    <w:rsid w:val="5C2C297C"/>
    <w:rsid w:val="5D215911"/>
    <w:rsid w:val="601518BE"/>
    <w:rsid w:val="607F676F"/>
    <w:rsid w:val="60F60EB1"/>
    <w:rsid w:val="61750921"/>
    <w:rsid w:val="618A0ACD"/>
    <w:rsid w:val="63715C78"/>
    <w:rsid w:val="63AE011A"/>
    <w:rsid w:val="6678134D"/>
    <w:rsid w:val="697F233D"/>
    <w:rsid w:val="6B4F1FC6"/>
    <w:rsid w:val="6D062ACC"/>
    <w:rsid w:val="6EA36ACE"/>
    <w:rsid w:val="6ECD58F9"/>
    <w:rsid w:val="6F9D6081"/>
    <w:rsid w:val="6FED5B27"/>
    <w:rsid w:val="707D2EED"/>
    <w:rsid w:val="70DF5DB7"/>
    <w:rsid w:val="738549F4"/>
    <w:rsid w:val="739C3AEB"/>
    <w:rsid w:val="74E76B95"/>
    <w:rsid w:val="77536BB7"/>
    <w:rsid w:val="78767001"/>
    <w:rsid w:val="7DA51208"/>
    <w:rsid w:val="7DC12ACC"/>
    <w:rsid w:val="7E6D33F4"/>
    <w:rsid w:val="7F17671C"/>
    <w:rsid w:val="7FF76C79"/>
    <w:rsid w:val="BFE96AD0"/>
    <w:rsid w:val="E4F97D33"/>
    <w:rsid w:val="EB57F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adjustRightInd w:val="0"/>
      <w:snapToGrid w:val="0"/>
      <w:spacing w:before="260" w:after="260" w:line="500" w:lineRule="atLeast"/>
      <w:jc w:val="center"/>
      <w:outlineLvl w:val="1"/>
    </w:pPr>
    <w:rPr>
      <w:rFonts w:ascii="楷体_GB2312" w:hAnsi="Arial" w:eastAsia="楷体_GB2312" w:cs="Times New Roman"/>
      <w:b/>
      <w:bCs/>
      <w:sz w:val="30"/>
      <w:szCs w:val="32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2623</Words>
  <Characters>2632</Characters>
  <Paragraphs>85</Paragraphs>
  <TotalTime>54</TotalTime>
  <ScaleCrop>false</ScaleCrop>
  <LinksUpToDate>false</LinksUpToDate>
  <CharactersWithSpaces>2645</CharactersWithSpaces>
  <Application>WPS Office_11.8.2.10458_F1E327BC-269C-435d-A152-05C5408002CA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2022-05-20T02:05:00Z</dcterms:created>
  <dc:creator>Redmi Note 8 Pro</dc:creator>
  <cp:lastModifiedBy>sport</cp:lastModifiedBy>
  <dcterms:modified xsi:type="dcterms:W3CDTF">2022-06-29T10:21:54Z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25DAC54B6A414497941133ACFB407A10</vt:lpwstr>
  </property>
  <property fmtid="{D5CDD505-2E9C-101B-9397-08002B2CF9AE}" pid="3" name="KSOProductBuildVer">
    <vt:lpwstr>2052-11.8.2.10458</vt:lpwstr>
  </property>
</Properties>
</file>